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346"/>
        <w:gridCol w:w="5320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346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0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BEB43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线站机械加工件</w:t>
            </w:r>
          </w:p>
        </w:tc>
        <w:tc>
          <w:tcPr>
            <w:tcW w:w="5320" w:type="dxa"/>
            <w:vAlign w:val="center"/>
          </w:tcPr>
          <w:tbl>
            <w:tblPr>
              <w:tblStyle w:val="3"/>
              <w:tblpPr w:leftFromText="180" w:rightFromText="180" w:vertAnchor="text" w:horzAnchor="page" w:tblpX="92" w:tblpY="100"/>
              <w:tblOverlap w:val="never"/>
              <w:tblW w:w="515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48"/>
              <w:gridCol w:w="696"/>
              <w:gridCol w:w="3610"/>
            </w:tblGrid>
            <w:tr w14:paraId="1CA2910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848" w:type="dxa"/>
                  <w:vAlign w:val="center"/>
                </w:tcPr>
                <w:p w14:paraId="2EDDAE55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696" w:type="dxa"/>
                  <w:vAlign w:val="center"/>
                </w:tcPr>
                <w:p w14:paraId="211CB085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  <w:t>数量</w:t>
                  </w:r>
                </w:p>
              </w:tc>
              <w:tc>
                <w:tcPr>
                  <w:tcW w:w="3610" w:type="dxa"/>
                  <w:vAlign w:val="center"/>
                </w:tcPr>
                <w:p w14:paraId="5B2B5829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  <w:t>主要参数</w:t>
                  </w:r>
                </w:p>
              </w:tc>
            </w:tr>
            <w:tr w14:paraId="47E5FFD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38" w:hRule="atLeast"/>
              </w:trPr>
              <w:tc>
                <w:tcPr>
                  <w:tcW w:w="848" w:type="dxa"/>
                  <w:vAlign w:val="center"/>
                </w:tcPr>
                <w:p w14:paraId="56C97E5F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CF63焊接波纹管</w:t>
                  </w:r>
                </w:p>
              </w:tc>
              <w:tc>
                <w:tcPr>
                  <w:tcW w:w="696" w:type="dxa"/>
                  <w:vAlign w:val="center"/>
                </w:tcPr>
                <w:p w14:paraId="0F633A55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3610" w:type="dxa"/>
                </w:tcPr>
                <w:p w14:paraId="30DA4187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304不锈钢材质；长度据光束线BPM前后位置确定，自然长度100~150mm；含可装卸固定支杆；超高真空适用；极限真空≤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10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 xml:space="preserve">-8 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Pa；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漏率≤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10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 xml:space="preserve">-12 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Pa·m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>3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/s</w:t>
                  </w:r>
                </w:p>
              </w:tc>
            </w:tr>
            <w:tr w14:paraId="31CC38D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38" w:hRule="atLeast"/>
              </w:trPr>
              <w:tc>
                <w:tcPr>
                  <w:tcW w:w="848" w:type="dxa"/>
                  <w:vAlign w:val="center"/>
                </w:tcPr>
                <w:p w14:paraId="44215073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CF35焊接波纹管</w:t>
                  </w:r>
                </w:p>
              </w:tc>
              <w:tc>
                <w:tcPr>
                  <w:tcW w:w="696" w:type="dxa"/>
                  <w:vAlign w:val="center"/>
                </w:tcPr>
                <w:p w14:paraId="6C0E3CE3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610" w:type="dxa"/>
                </w:tcPr>
                <w:p w14:paraId="23D68AF2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304不锈钢材质；自然长度 100mm（按CF63六通尺寸确定）；含可装卸固定支杆；超高真空适用，极限真空≤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10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 xml:space="preserve">-8 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Pa；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漏率≤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10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 xml:space="preserve">-12 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Pa·m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>3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/s</w:t>
                  </w:r>
                </w:p>
              </w:tc>
            </w:tr>
            <w:tr w14:paraId="472F2E3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8" w:hRule="atLeast"/>
              </w:trPr>
              <w:tc>
                <w:tcPr>
                  <w:tcW w:w="848" w:type="dxa"/>
                  <w:vAlign w:val="center"/>
                </w:tcPr>
                <w:p w14:paraId="4C466CA8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CF150焊接波纹管</w:t>
                  </w:r>
                </w:p>
              </w:tc>
              <w:tc>
                <w:tcPr>
                  <w:tcW w:w="696" w:type="dxa"/>
                  <w:vAlign w:val="center"/>
                </w:tcPr>
                <w:p w14:paraId="522FD7CB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610" w:type="dxa"/>
                  <w:tcBorders>
                    <w:bottom w:val="single" w:color="auto" w:sz="4" w:space="0"/>
                  </w:tcBorders>
                </w:tcPr>
                <w:p w14:paraId="5F627B7E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304不锈钢材质；自然长度150mm；含可装卸固定支杆；超高真空适用，极限真空≤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10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 xml:space="preserve">-8 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Pa；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漏率≤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10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 xml:space="preserve">-12 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Pa·m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>3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/s</w:t>
                  </w:r>
                </w:p>
              </w:tc>
            </w:tr>
            <w:tr w14:paraId="4DD8712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17" w:hRule="atLeast"/>
              </w:trPr>
              <w:tc>
                <w:tcPr>
                  <w:tcW w:w="848" w:type="dxa"/>
                  <w:vAlign w:val="center"/>
                </w:tcPr>
                <w:p w14:paraId="0C3AE68A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光电探测CF63六通腔</w:t>
                  </w:r>
                </w:p>
              </w:tc>
              <w:tc>
                <w:tcPr>
                  <w:tcW w:w="696" w:type="dxa"/>
                  <w:tcBorders>
                    <w:bottom w:val="single" w:color="auto" w:sz="4" w:space="0"/>
                  </w:tcBorders>
                  <w:vAlign w:val="center"/>
                </w:tcPr>
                <w:p w14:paraId="72A8D1E5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610" w:type="dxa"/>
                  <w:tcBorders>
                    <w:bottom w:val="single" w:color="auto" w:sz="4" w:space="0"/>
                  </w:tcBorders>
                </w:tcPr>
                <w:p w14:paraId="028781E2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304不锈钢材质；CF63法兰六通，一头松套法兰设计，总长不超过90mm；四个CF35法兰口，CF35手动直线导入器，行程≥80mm，接驳固定光档片（23mm*5mm方孔，边缘宽度超过5mm，含PD安装位置）；CF35电极馈通（接PD信号线）；超高真空适用，极限真空≤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10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 xml:space="preserve">-8 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Pa；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漏率≤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10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 xml:space="preserve">-12 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Pa·m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>3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/s；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 </w:t>
                  </w:r>
                </w:p>
              </w:tc>
            </w:tr>
            <w:tr w14:paraId="44A0B2E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77" w:hRule="atLeast"/>
              </w:trPr>
              <w:tc>
                <w:tcPr>
                  <w:tcW w:w="848" w:type="dxa"/>
                  <w:vAlign w:val="center"/>
                </w:tcPr>
                <w:p w14:paraId="7762A977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泵站腔体</w:t>
                  </w:r>
                </w:p>
              </w:tc>
              <w:tc>
                <w:tcPr>
                  <w:tcW w:w="696" w:type="dxa"/>
                  <w:tcBorders>
                    <w:top w:val="single" w:color="auto" w:sz="4" w:space="0"/>
                  </w:tcBorders>
                  <w:vAlign w:val="center"/>
                </w:tcPr>
                <w:p w14:paraId="66C26E57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610" w:type="dxa"/>
                  <w:tcBorders>
                    <w:top w:val="single" w:color="auto" w:sz="4" w:space="0"/>
                  </w:tcBorders>
                </w:tcPr>
                <w:p w14:paraId="4E2BEF6C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304不锈钢材质；CF150法兰，长度按真实需求设计，含CF63连接口，与主泵腔成12°双头松套设计，在可安装前提下尽量短，CF63单边长度不超过110mm；超高真空适用，极限真空≤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10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 xml:space="preserve">-8 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Pa；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漏率≤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10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 xml:space="preserve">-12 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Pa·m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>3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/s；铸铁支撑件，尺寸与现有KYKY/三井300L离子泵适配；</w:t>
                  </w:r>
                </w:p>
              </w:tc>
            </w:tr>
            <w:tr w14:paraId="5E64FD9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77" w:hRule="atLeast"/>
              </w:trPr>
              <w:tc>
                <w:tcPr>
                  <w:tcW w:w="848" w:type="dxa"/>
                  <w:vAlign w:val="center"/>
                </w:tcPr>
                <w:p w14:paraId="0E9BE8D4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电离室主件腔室及部分配件</w:t>
                  </w:r>
                </w:p>
              </w:tc>
              <w:tc>
                <w:tcPr>
                  <w:tcW w:w="696" w:type="dxa"/>
                  <w:vAlign w:val="center"/>
                </w:tcPr>
                <w:p w14:paraId="5431FDAB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610" w:type="dxa"/>
                </w:tcPr>
                <w:p w14:paraId="484CC64C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304不锈钢材质；包含气体电离室基本功能，CF63法兰接口，一头松套设计，总长不超过220mm；包含直线导入器（接驳PD安装板及信号馈通），电离极板一套，电极馈通1个；超高真空适用，极限真空≤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10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 xml:space="preserve">-8 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Pa；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漏率≤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10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 xml:space="preserve">-12 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Pa·m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>3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/s；</w:t>
                  </w:r>
                </w:p>
              </w:tc>
            </w:tr>
            <w:tr w14:paraId="3954D45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76" w:hRule="atLeast"/>
              </w:trPr>
              <w:tc>
                <w:tcPr>
                  <w:tcW w:w="848" w:type="dxa"/>
                  <w:vAlign w:val="center"/>
                </w:tcPr>
                <w:p w14:paraId="0C33606F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真空腔</w:t>
                  </w:r>
                </w:p>
              </w:tc>
              <w:tc>
                <w:tcPr>
                  <w:tcW w:w="696" w:type="dxa"/>
                  <w:vAlign w:val="center"/>
                </w:tcPr>
                <w:p w14:paraId="70ACC78D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center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610" w:type="dxa"/>
                </w:tcPr>
                <w:p w14:paraId="7C9A95A9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0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304不锈钢材质；直径≥250mm筒状腔体， 总长不超过450mm； 顶部含CF250转CF100转接段（包含至少2个CF35窗）， 底部CF250法兰含支撑块，含CF250转CF150转接段；腔体底部分布斜入CF35口大于等于6个，之上对应垂直CF35挡板件法兰接入口；再之上侧面含CF100口2个及CF35口；超高真空适用，极限真空≤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10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 xml:space="preserve">-8 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Pa；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漏率≤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10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 xml:space="preserve">-12 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Pa·m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vertAlign w:val="superscript"/>
                    </w:rPr>
                    <w:t>3</w:t>
                  </w: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/s；底部CF35口连接管均为DN40规格；</w:t>
                  </w:r>
                </w:p>
              </w:tc>
            </w:tr>
          </w:tbl>
          <w:p w14:paraId="78B3C406">
            <w:pPr>
              <w:numPr>
                <w:ilvl w:val="0"/>
                <w:numId w:val="1"/>
              </w:numPr>
              <w:spacing w:line="360" w:lineRule="exact"/>
              <w:jc w:val="both"/>
              <w:rPr>
                <w:color w:val="000000"/>
                <w:sz w:val="22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4"/>
              </w:rPr>
              <w:t>真空腔体及其相关结构零部件：均采用304牌号</w:t>
            </w:r>
            <w:bookmarkStart w:id="0" w:name="_GoBack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（0Cr18Ni9）</w:t>
            </w:r>
            <w:bookmarkEnd w:id="0"/>
            <w:r>
              <w:rPr>
                <w:rFonts w:hint="eastAsia" w:ascii="宋体" w:hAnsi="宋体" w:cs="Helvetica"/>
                <w:color w:val="000000"/>
                <w:kern w:val="0"/>
                <w:sz w:val="24"/>
              </w:rPr>
              <w:t>优质不锈钢材料制成</w:t>
            </w:r>
            <w:r>
              <w:rPr>
                <w:rFonts w:hint="eastAsia"/>
                <w:color w:val="000000"/>
                <w:sz w:val="24"/>
              </w:rPr>
              <w:t>。特殊零部件材质按实际需求布置。</w:t>
            </w:r>
          </w:p>
          <w:p w14:paraId="237420AE">
            <w:pPr>
              <w:numPr>
                <w:ilvl w:val="0"/>
                <w:numId w:val="1"/>
              </w:numPr>
              <w:spacing w:line="360" w:lineRule="exact"/>
              <w:jc w:val="both"/>
              <w:rPr>
                <w:color w:val="000000"/>
                <w:sz w:val="22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4"/>
              </w:rPr>
              <w:t>对真空室体及其相关零、部件，均按照超高真空部品的加工工艺规范为准，完成机加工和清洗及组焊</w:t>
            </w:r>
            <w:r>
              <w:rPr>
                <w:rFonts w:hint="eastAsia"/>
                <w:color w:val="000000"/>
                <w:sz w:val="24"/>
              </w:rPr>
              <w:t>，</w:t>
            </w:r>
            <w:r>
              <w:rPr>
                <w:rFonts w:hint="eastAsia"/>
                <w:sz w:val="24"/>
              </w:rPr>
              <w:t>并进行高温除氢处理，内表面粗糙度应当满足：Ra≤0.8μm。</w:t>
            </w:r>
          </w:p>
          <w:p w14:paraId="3916687C">
            <w:pPr>
              <w:numPr>
                <w:ilvl w:val="0"/>
                <w:numId w:val="1"/>
              </w:numPr>
              <w:spacing w:line="360" w:lineRule="exact"/>
              <w:jc w:val="both"/>
              <w:rPr>
                <w:rFonts w:ascii="宋体" w:hAnsi="宋体" w:cs="Helvetica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4"/>
              </w:rPr>
              <w:t>对真空室体及其相关零、部件，所有</w:t>
            </w:r>
            <w:r>
              <w:rPr>
                <w:rFonts w:hint="eastAsia"/>
                <w:sz w:val="24"/>
              </w:rPr>
              <w:t>锐边倒钝，去尖角、毛刺或飞边；所有元件在焊接和装配前需清洁处理，去除油脂、污物、灰尘等，并干燥保存</w:t>
            </w:r>
            <w:r>
              <w:rPr>
                <w:rFonts w:hint="eastAsia" w:ascii="宋体" w:hAnsi="宋体" w:cs="Helvetica"/>
                <w:color w:val="000000"/>
                <w:kern w:val="0"/>
                <w:sz w:val="24"/>
              </w:rPr>
              <w:t>。</w:t>
            </w:r>
          </w:p>
          <w:p w14:paraId="6AA70F6F">
            <w:pPr>
              <w:numPr>
                <w:ilvl w:val="0"/>
                <w:numId w:val="1"/>
              </w:numPr>
              <w:spacing w:line="360" w:lineRule="exact"/>
              <w:jc w:val="both"/>
              <w:rPr>
                <w:rFonts w:ascii="宋体" w:hAnsi="宋体" w:cs="Helvetica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4"/>
              </w:rPr>
              <w:t>采用氩弧焊方式完成各真空部件的组焊，焊接要求焊透，</w:t>
            </w:r>
            <w:r>
              <w:rPr>
                <w:rFonts w:ascii="宋体" w:hAnsi="宋体" w:cs="Helvetica"/>
                <w:color w:val="000000"/>
                <w:kern w:val="0"/>
                <w:sz w:val="24"/>
              </w:rPr>
              <w:t>焊缝以外无烧熔斑点及焊料流淌</w:t>
            </w:r>
            <w:r>
              <w:rPr>
                <w:rFonts w:hint="eastAsia" w:ascii="宋体" w:hAnsi="宋体" w:cs="Helvetica"/>
                <w:color w:val="000000"/>
                <w:kern w:val="0"/>
                <w:sz w:val="24"/>
              </w:rPr>
              <w:t>，焊接</w:t>
            </w:r>
            <w:r>
              <w:rPr>
                <w:rFonts w:hint="eastAsia"/>
                <w:sz w:val="24"/>
              </w:rPr>
              <w:t>完成后必须对焊缝进行外观检查，焊缝表面不得有裂缝、气孔、夹渣及咬边等焊接缺陷</w:t>
            </w:r>
            <w:r>
              <w:rPr>
                <w:rFonts w:hint="eastAsia" w:ascii="宋体" w:hAnsi="宋体" w:cs="Helvetica"/>
                <w:color w:val="000000"/>
                <w:kern w:val="0"/>
                <w:sz w:val="24"/>
              </w:rPr>
              <w:t>。</w:t>
            </w:r>
          </w:p>
          <w:p w14:paraId="6E654799">
            <w:pPr>
              <w:numPr>
                <w:ilvl w:val="0"/>
                <w:numId w:val="1"/>
              </w:numPr>
              <w:spacing w:line="360" w:lineRule="exact"/>
              <w:jc w:val="both"/>
              <w:rPr>
                <w:rFonts w:ascii="宋体" w:hAnsi="宋体" w:cs="Helvetica"/>
                <w:color w:val="000000"/>
                <w:kern w:val="0"/>
                <w:sz w:val="24"/>
              </w:rPr>
            </w:pPr>
            <w:r>
              <w:rPr>
                <w:rFonts w:ascii="宋体" w:hAnsi="宋体" w:cs="Helvetica"/>
                <w:color w:val="000000"/>
                <w:kern w:val="0"/>
                <w:sz w:val="24"/>
              </w:rPr>
              <w:t>法兰基本尺寸基于GB/Z 25756-2010，加工完成后要求松套法兰可自由旋转</w:t>
            </w:r>
            <w:r>
              <w:rPr>
                <w:rFonts w:hint="eastAsia" w:ascii="宋体" w:hAnsi="宋体" w:cs="Helvetica"/>
                <w:color w:val="000000"/>
                <w:kern w:val="0"/>
                <w:sz w:val="24"/>
              </w:rPr>
              <w:t>，</w:t>
            </w:r>
            <w:r>
              <w:rPr>
                <w:rFonts w:ascii="宋体" w:hAnsi="宋体" w:cs="Helvetica"/>
                <w:color w:val="000000"/>
                <w:kern w:val="0"/>
                <w:sz w:val="24"/>
              </w:rPr>
              <w:t>焊接时法兰螺栓孔在中心线两侧对称分布，不对称度≤0.1mm</w:t>
            </w:r>
            <w:r>
              <w:rPr>
                <w:rFonts w:hint="eastAsia" w:ascii="宋体" w:hAnsi="宋体" w:cs="Helvetica"/>
                <w:color w:val="000000"/>
                <w:kern w:val="0"/>
                <w:sz w:val="24"/>
              </w:rPr>
              <w:t>。</w:t>
            </w:r>
          </w:p>
          <w:p w14:paraId="29A83C33">
            <w:pPr>
              <w:numPr>
                <w:ilvl w:val="0"/>
                <w:numId w:val="1"/>
              </w:numPr>
              <w:spacing w:line="360" w:lineRule="exact"/>
              <w:jc w:val="both"/>
              <w:rPr>
                <w:color w:val="000000"/>
                <w:sz w:val="22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4"/>
              </w:rPr>
              <w:t>真空部件极限真空≤5</w:t>
            </w:r>
            <w:r>
              <w:rPr>
                <w:color w:val="000000"/>
                <w:kern w:val="0"/>
                <w:sz w:val="24"/>
              </w:rPr>
              <w:t>×10</w:t>
            </w:r>
            <w:r>
              <w:rPr>
                <w:color w:val="000000"/>
                <w:kern w:val="0"/>
                <w:sz w:val="24"/>
                <w:vertAlign w:val="superscript"/>
              </w:rPr>
              <w:t xml:space="preserve">-8 </w:t>
            </w:r>
            <w:r>
              <w:rPr>
                <w:color w:val="000000"/>
                <w:kern w:val="0"/>
                <w:sz w:val="24"/>
              </w:rPr>
              <w:t>Pa</w:t>
            </w:r>
            <w:r>
              <w:rPr>
                <w:rFonts w:hint="eastAsia" w:ascii="宋体" w:hAnsi="宋体" w:cs="Helvetica"/>
                <w:color w:val="000000"/>
                <w:kern w:val="0"/>
                <w:sz w:val="24"/>
              </w:rPr>
              <w:t>，漏率≤</w:t>
            </w:r>
            <w:r>
              <w:rPr>
                <w:sz w:val="24"/>
              </w:rPr>
              <w:t>5</w:t>
            </w:r>
            <w:r>
              <w:rPr>
                <w:color w:val="000000"/>
                <w:kern w:val="0"/>
                <w:sz w:val="24"/>
              </w:rPr>
              <w:t>×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  <w:vertAlign w:val="superscript"/>
              </w:rPr>
              <w:t>-12</w:t>
            </w:r>
            <w:r>
              <w:rPr>
                <w:sz w:val="24"/>
                <w:vertAlign w:val="superscript"/>
              </w:rPr>
              <w:t xml:space="preserve"> </w:t>
            </w:r>
            <w:r>
              <w:rPr>
                <w:rFonts w:hint="eastAsia"/>
                <w:sz w:val="24"/>
              </w:rPr>
              <w:t>Pa·m</w:t>
            </w:r>
            <w:r>
              <w:rPr>
                <w:rFonts w:hint="eastAsia"/>
                <w:sz w:val="24"/>
                <w:vertAlign w:val="superscript"/>
              </w:rPr>
              <w:t>3</w:t>
            </w:r>
            <w:r>
              <w:rPr>
                <w:rFonts w:hint="eastAsia"/>
                <w:sz w:val="24"/>
              </w:rPr>
              <w:t>/s</w:t>
            </w:r>
            <w:r>
              <w:rPr>
                <w:rFonts w:hint="eastAsia" w:ascii="宋体" w:hAnsi="宋体" w:cs="Helvetica"/>
                <w:color w:val="000000"/>
                <w:kern w:val="0"/>
                <w:sz w:val="24"/>
              </w:rPr>
              <w:t xml:space="preserve"> (以氦质谱检漏仪的检测结果为准)</w:t>
            </w:r>
            <w:r>
              <w:rPr>
                <w:rFonts w:hint="eastAsia"/>
                <w:color w:val="000000"/>
                <w:sz w:val="24"/>
              </w:rPr>
              <w:t>。</w:t>
            </w:r>
          </w:p>
          <w:p w14:paraId="491B0231">
            <w:pPr>
              <w:numPr>
                <w:ilvl w:val="0"/>
                <w:numId w:val="1"/>
              </w:numPr>
              <w:spacing w:line="360" w:lineRule="exact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甲方提供镜箱初步设计方案，乙方根据甲方提供的初步方案，进行细化，提供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solidworks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模型文件及加工图纸，经甲方确认后进行加工。</w:t>
            </w:r>
          </w:p>
          <w:p w14:paraId="28B051B6">
            <w:pPr>
              <w:numPr>
                <w:ilvl w:val="0"/>
                <w:numId w:val="1"/>
              </w:numPr>
              <w:spacing w:line="360" w:lineRule="exact"/>
              <w:jc w:val="both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到货后负责相应配件的物理安装准直工作。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8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交货期：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图纸确认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后3个月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内</w:t>
            </w:r>
          </w:p>
          <w:p w14:paraId="379C679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一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次性交付</w:t>
            </w:r>
          </w:p>
          <w:p w14:paraId="161F788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付款方式：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合同签订后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预付4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0%合同款，货到验收合格后付清尾款。</w:t>
            </w:r>
          </w:p>
          <w:p w14:paraId="3CA9573C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验收指标及验收要求：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提供出厂检测报告，需要包含材料证明、真空检测报告。现场验收指标漏率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≤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5×10-12 Pa·m3/s。</w:t>
            </w:r>
          </w:p>
          <w:p w14:paraId="0CC15ED5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default"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 w:eastAsia="zh-CN"/>
              </w:rPr>
              <w:t>质保期</w:t>
            </w:r>
            <w:r>
              <w:rPr>
                <w:rFonts w:hint="eastAsia"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 w:eastAsia="zh-CN"/>
              </w:rPr>
              <w:t>一</w:t>
            </w:r>
            <w:r>
              <w:rPr>
                <w:rFonts w:hint="default"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 w:eastAsia="zh-CN"/>
              </w:rPr>
              <w:t>年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87DDEA5">
      <w:pPr>
        <w:ind w:right="840"/>
        <w:rPr>
          <w:sz w:val="24"/>
          <w:szCs w:val="24"/>
        </w:rPr>
      </w:pPr>
    </w:p>
    <w:p w14:paraId="64E5D46D">
      <w:pPr>
        <w:ind w:right="840"/>
        <w:rPr>
          <w:sz w:val="24"/>
          <w:szCs w:val="24"/>
        </w:rPr>
      </w:pPr>
    </w:p>
    <w:p w14:paraId="663E47C9">
      <w:pPr>
        <w:ind w:right="840" w:firstLine="5040" w:firstLineChars="2100"/>
        <w:rPr>
          <w:sz w:val="24"/>
          <w:szCs w:val="24"/>
        </w:rPr>
      </w:pPr>
    </w:p>
    <w:p w14:paraId="6B36AD4F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7541464A">
      <w:pPr>
        <w:ind w:right="840"/>
        <w:jc w:val="center"/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42549A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723639"/>
    <w:multiLevelType w:val="multilevel"/>
    <w:tmpl w:val="4A72363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D74AA"/>
    <w:rsid w:val="095D74AA"/>
    <w:rsid w:val="0AF6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2026-03-31T02:21:00Z</dcterms:created>
  <dc:creator>DELL</dc:creator>
  <cp:lastModifiedBy>DELL</cp:lastModifiedBy>
  <dcterms:modified xsi:type="dcterms:W3CDTF">2026-03-31T02:31:26Z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9D737E9B243F4B8FB721D23AF83BB53D_11</vt:lpwstr>
  </property>
  <property fmtid="{D5CDD505-2E9C-101B-9397-08002B2CF9AE}" pid="4" name="KSOTemplateDocerSaveRecord">
    <vt:lpwstr>eyJoZGlkIjoiN2RmNGQ2MDc0ZGFiNmIyNjNmMmJiNzcxMzg1OWQzY2YifQ==</vt:lpwstr>
  </property>
</Properties>
</file>