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F42D7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71ADF21F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50584A57"/>
    <w:tbl>
      <w:tblPr>
        <w:tblStyle w:val="3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561"/>
        <w:gridCol w:w="5322"/>
        <w:gridCol w:w="1201"/>
        <w:gridCol w:w="992"/>
      </w:tblGrid>
      <w:tr w14:paraId="20C66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3E29496F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561" w:type="dxa"/>
            <w:vAlign w:val="center"/>
          </w:tcPr>
          <w:p w14:paraId="467D4662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322" w:type="dxa"/>
            <w:vAlign w:val="center"/>
          </w:tcPr>
          <w:p w14:paraId="0B99A1E1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技术指标</w:t>
            </w:r>
          </w:p>
        </w:tc>
        <w:tc>
          <w:tcPr>
            <w:tcW w:w="1201" w:type="dxa"/>
            <w:vAlign w:val="center"/>
          </w:tcPr>
          <w:p w14:paraId="78A9372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偏离说明</w:t>
            </w:r>
          </w:p>
          <w:p w14:paraId="529022B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无偏离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正偏离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负偏离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744AE6C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偏离值</w:t>
            </w:r>
          </w:p>
        </w:tc>
      </w:tr>
      <w:tr w14:paraId="6C24D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05" w:type="dxa"/>
            <w:vAlign w:val="center"/>
          </w:tcPr>
          <w:p w14:paraId="6B5478EA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7432B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超级陶粲装置束流测试平台配电箱及电缆采购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br w:type="textWrapping"/>
            </w:r>
          </w:p>
        </w:tc>
        <w:tc>
          <w:tcPr>
            <w:tcW w:w="5322" w:type="dxa"/>
            <w:vAlign w:val="center"/>
          </w:tcPr>
          <w:p w14:paraId="52551E87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.元器件及设备采购：需梳理新的配电箱需求，采购相应的电气元器件，在现状配电箱内进行安装，并完成元器件上端与配电箱汇流排的可靠连接及安装。包括1台三相3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>80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V转三相2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>00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V隔离变压器的采购及安装工作。</w:t>
            </w:r>
          </w:p>
          <w:p w14:paraId="2DC39FFE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2.配电箱P2-GY11及电缆采购：新购1台配电箱P2-GY11及1根约120米长的WDZA-YJV-4×120+1×70mm²电力电缆。配电箱安装于加速器测试大厅速调管走廊内；配套电缆自空调机房敷设至该配电箱。</w:t>
            </w:r>
          </w:p>
          <w:p w14:paraId="7BD0F8F2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3.配电箱P2-GY12及电缆采购：新购1台配电箱P2-GY12及1根约260米长的WDZA-YJV-4×240+1×120mm²电力电缆。配电箱安装于室外；配套电缆自上级变电所敷设至该配电箱。</w:t>
            </w:r>
          </w:p>
          <w:p w14:paraId="0CF36B78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4.以上相关的技术要求等见附件，并需包含上述所有采购内容相关的设计、设备安装及调试等工作。</w:t>
            </w:r>
            <w:bookmarkStart w:id="0" w:name="_GoBack"/>
            <w:bookmarkEnd w:id="0"/>
          </w:p>
        </w:tc>
        <w:tc>
          <w:tcPr>
            <w:tcW w:w="1201" w:type="dxa"/>
            <w:vAlign w:val="center"/>
          </w:tcPr>
          <w:p w14:paraId="3494B2B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B5E24F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14:paraId="41B7F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705" w:type="dxa"/>
            <w:vAlign w:val="center"/>
          </w:tcPr>
          <w:p w14:paraId="1FB5921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7ED25">
            <w:pPr>
              <w:widowControl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商务条款</w:t>
            </w:r>
          </w:p>
        </w:tc>
        <w:tc>
          <w:tcPr>
            <w:tcW w:w="5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1B770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 w:val="0"/>
                <w:sz w:val="24"/>
                <w:szCs w:val="24"/>
              </w:rPr>
              <w:t>交货期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合同签订后20天内交货并完成安装调试并具备验收条件。</w:t>
            </w:r>
          </w:p>
          <w:p w14:paraId="68FE67DF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 w:val="0"/>
                <w:sz w:val="24"/>
                <w:szCs w:val="24"/>
              </w:rPr>
              <w:t>交付进度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ascii="宋体" w:hAnsi="宋体"/>
                <w:b w:val="0"/>
                <w:bCs/>
                <w:sz w:val="24"/>
                <w:szCs w:val="24"/>
              </w:rPr>
              <w:t>一次性交付。</w:t>
            </w:r>
          </w:p>
          <w:p w14:paraId="08AC5C62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 w:val="0"/>
                <w:sz w:val="24"/>
                <w:szCs w:val="24"/>
              </w:rPr>
              <w:t>付款方式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货物完成安装调试，并验收合格，在收到全额发票后30日内支付全部款项。</w:t>
            </w:r>
          </w:p>
          <w:p w14:paraId="3364DAC1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验收指标及验收要求：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1</w:t>
            </w:r>
            <w:r>
              <w:rPr>
                <w:rFonts w:ascii="宋体" w:hAnsi="宋体"/>
                <w:bCs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满足设计图纸要求，所有新增控制器、保护器件、终端设备与整体配电系统兼容匹配，无干扰、无冲突；</w:t>
            </w:r>
          </w:p>
          <w:p w14:paraId="3718AFBA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2</w:t>
            </w:r>
            <w:r>
              <w:rPr>
                <w:rFonts w:ascii="宋体" w:hAnsi="宋体"/>
                <w:bCs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低压配电回路、设备相间、相对地绝缘电阻：≥100MΩ（1000V摇表测试），严禁低于规范值；</w:t>
            </w:r>
          </w:p>
          <w:p w14:paraId="7A6967F5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3</w:t>
            </w:r>
            <w:r>
              <w:rPr>
                <w:rFonts w:ascii="宋体" w:hAnsi="宋体"/>
                <w:bCs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设备外壳、柜体、变压器、金属线槽可靠接地，接地连续性良好，系统无漏电、无外壳带电，漏电保护、过载保护、短路保护动作灵敏可靠；</w:t>
            </w:r>
          </w:p>
          <w:p w14:paraId="68E7FF45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4.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断路器、保护装置整定参数符合设计要求，过载、短路保护功能正常；</w:t>
            </w:r>
          </w:p>
          <w:p w14:paraId="4ACFBEBE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5.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三相380V转200V变压系统：可稳定为原有5kW设备提供标准三相200V电源，设备启动、运行、负载工况完全正常，无功率不足、报错、抖动现象；</w:t>
            </w:r>
          </w:p>
          <w:p w14:paraId="4FE797EC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default" w:ascii="宋体" w:hAnsi="宋体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6</w:t>
            </w:r>
            <w:r>
              <w:rPr>
                <w:rFonts w:ascii="宋体" w:hAnsi="宋体"/>
                <w:bCs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配电箱、动力设备、变压供电系统（200V设备供电）：满负荷连续试运行48小时。</w:t>
            </w:r>
          </w:p>
          <w:p w14:paraId="0727BB45">
            <w:pPr>
              <w:tabs>
                <w:tab w:val="left" w:pos="6915"/>
              </w:tabs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保修</w:t>
            </w:r>
            <w:r>
              <w:rPr>
                <w:rFonts w:ascii="宋体" w:hAnsi="宋体"/>
                <w:b/>
                <w:bCs w:val="0"/>
                <w:sz w:val="24"/>
                <w:szCs w:val="24"/>
              </w:rPr>
              <w:t>及售后服务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本项目整体质保期为1</w:t>
            </w:r>
            <w:r>
              <w:rPr>
                <w:rFonts w:ascii="宋体" w:hAnsi="宋体"/>
                <w:bCs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个月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201" w:type="dxa"/>
            <w:vAlign w:val="center"/>
          </w:tcPr>
          <w:p w14:paraId="5D3E4FB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3744E8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00BC0982">
      <w:pPr>
        <w:wordWrap w:val="0"/>
        <w:ind w:right="840"/>
        <w:jc w:val="right"/>
        <w:rPr>
          <w:rFonts w:hint="default" w:eastAsiaTheme="minorEastAsia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br w:type="textWrapping"/>
      </w:r>
      <w:r>
        <w:rPr>
          <w:sz w:val="24"/>
          <w:szCs w:val="24"/>
        </w:rPr>
        <w:t>公司名称</w:t>
      </w:r>
      <w:r>
        <w:rPr>
          <w:rFonts w:hint="eastAsia"/>
          <w:sz w:val="24"/>
          <w:szCs w:val="24"/>
        </w:rPr>
        <w:t>（盖章）：</w:t>
      </w:r>
      <w:r>
        <w:rPr>
          <w:rFonts w:hint="eastAsia"/>
          <w:sz w:val="24"/>
          <w:szCs w:val="24"/>
        </w:rPr>
        <w:br w:type="textWrapping"/>
      </w:r>
      <w:r>
        <w:rPr>
          <w:sz w:val="24"/>
          <w:szCs w:val="24"/>
        </w:rPr>
        <w:t>日期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F6C24"/>
    <w:rsid w:val="03906C14"/>
    <w:rsid w:val="04EF6C24"/>
    <w:rsid w:val="230C3504"/>
    <w:rsid w:val="38C84348"/>
    <w:rsid w:val="40620CE9"/>
    <w:rsid w:val="4D403FED"/>
    <w:rsid w:val="56137BF2"/>
    <w:rsid w:val="5DFF120B"/>
    <w:rsid w:val="60854C98"/>
    <w:rsid w:val="7EF2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913</Words>
  <Characters>1036</Characters>
  <Lines>0</Lines>
  <Paragraphs>0</Paragraphs>
  <TotalTime>1</TotalTime>
  <ScaleCrop>false</ScaleCrop>
  <LinksUpToDate>false</LinksUpToDate>
  <CharactersWithSpaces>1043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2026-07-17T08:11:00Z</dcterms:created>
  <dc:creator>DELL</dc:creator>
  <cp:lastModifiedBy>DELL</cp:lastModifiedBy>
  <dcterms:modified xsi:type="dcterms:W3CDTF">2026-08-27T09:44:13Z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C53E960037F34099BE33DA17E2F94FCD_13</vt:lpwstr>
  </property>
  <property fmtid="{D5CDD505-2E9C-101B-9397-08002B2CF9AE}" pid="4" name="KSOTemplateDocerSaveRecord">
    <vt:lpwstr>eyJoZGlkIjoiN2RmNGQ2MDc0ZGFiNmIyNjNmMmJiNzcxMzg1OWQzY2YifQ==</vt:lpwstr>
  </property>
</Properties>
</file>