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191"/>
        <w:gridCol w:w="5886"/>
        <w:gridCol w:w="1200"/>
        <w:gridCol w:w="86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衍射仪运动平台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4B11463">
            <w:pPr>
              <w:tabs>
                <w:tab w:val="left" w:pos="6915"/>
              </w:tabs>
              <w:ind w:firstLine="420" w:firstLineChars="200"/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该衍射仪运动平台安装于超高真空腔体内，用于提供量子材料散射实验所需的衍射仪旋转运动，要求交付的产品为一套超高真空旋转台，包含超高真空步进电机和完整的控制系统，控制系统应包含控制所需软硬件、电缆管线、电源适配器及其他必备配件。</w:t>
            </w:r>
          </w:p>
          <w:p w14:paraId="7EF736A5">
            <w:pPr>
              <w:tabs>
                <w:tab w:val="left" w:pos="6915"/>
              </w:tabs>
              <w:ind w:firstLine="420" w:firstLineChars="200"/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该衍射仪旋转台工作环境为超高真空，要求兼容真空度2</w:t>
            </w:r>
            <w:r>
              <w:rPr>
                <w:rFonts w:ascii="宋体" w:hAnsi="宋体"/>
                <w:b w:val="0"/>
                <w:bCs/>
                <w:szCs w:val="21"/>
              </w:rPr>
              <w:t>E-8P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a，同时真空漏率≤1</w:t>
            </w:r>
            <w:r>
              <w:rPr>
                <w:rFonts w:ascii="宋体" w:hAnsi="宋体"/>
                <w:b w:val="0"/>
                <w:bCs/>
                <w:szCs w:val="21"/>
              </w:rPr>
              <w:t>E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-10</w:t>
            </w:r>
            <w:r>
              <w:rPr>
                <w:rFonts w:ascii="宋体" w:hAnsi="宋体"/>
                <w:b w:val="0"/>
                <w:bCs/>
                <w:szCs w:val="21"/>
              </w:rPr>
              <w:t>P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a·L/s。尺寸方面要求旋转台中心开有通孔，通孔直径≥120</w:t>
            </w:r>
            <w:r>
              <w:rPr>
                <w:rFonts w:ascii="宋体" w:hAnsi="宋体"/>
                <w:b w:val="0"/>
                <w:bCs/>
                <w:szCs w:val="21"/>
              </w:rPr>
              <w:t>mm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，同时上下安装法兰孔位置直径均≤340</w:t>
            </w:r>
            <w:r>
              <w:rPr>
                <w:rFonts w:ascii="宋体" w:hAnsi="宋体"/>
                <w:b w:val="0"/>
                <w:bCs/>
                <w:szCs w:val="21"/>
              </w:rPr>
              <w:t>mm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。因为旋转台安装位置处存在部分磁铁杂散场，要求内部所用零件采用非磁性材料，要求外壳材料使用铝合金或无磁不锈钢材料（磁导率≤1.05），并且旋转台电机安装处需要另外预留安装孔位用于磁场屏蔽罩安装。</w:t>
            </w:r>
          </w:p>
          <w:p w14:paraId="000FA785">
            <w:pPr>
              <w:tabs>
                <w:tab w:val="left" w:pos="6915"/>
              </w:tabs>
              <w:ind w:firstLine="420" w:firstLineChars="200"/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所有技术要求和运动参数要求列在下方表1中。其中运动部分要求旋转台安装腔体后不引入其他杂散光，所以要求该旋转台不包含光栅尺，表1中所有的运动精度要求均为不安装光栅尺下的开环精度要求。</w:t>
            </w:r>
          </w:p>
          <w:p w14:paraId="238EF0FA">
            <w:pPr>
              <w:tabs>
                <w:tab w:val="left" w:pos="6915"/>
              </w:tabs>
              <w:ind w:firstLine="420" w:firstLineChars="200"/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软件方面要求兼容E</w:t>
            </w:r>
            <w:r>
              <w:rPr>
                <w:rFonts w:ascii="宋体" w:hAnsi="宋体"/>
                <w:b w:val="0"/>
                <w:bCs/>
                <w:szCs w:val="21"/>
              </w:rPr>
              <w:t>PICS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系统，或者可以支持后续E</w:t>
            </w:r>
            <w:r>
              <w:rPr>
                <w:rFonts w:ascii="宋体" w:hAnsi="宋体"/>
                <w:b w:val="0"/>
                <w:bCs/>
                <w:szCs w:val="21"/>
              </w:rPr>
              <w:t>PICS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开发需求，能提供E</w:t>
            </w:r>
            <w:r>
              <w:rPr>
                <w:rFonts w:ascii="宋体" w:hAnsi="宋体"/>
                <w:b w:val="0"/>
                <w:bCs/>
                <w:szCs w:val="21"/>
              </w:rPr>
              <w:t>PICS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控制系统的IOC模块。</w:t>
            </w:r>
          </w:p>
          <w:p w14:paraId="77C7EFE5">
            <w:pPr>
              <w:tabs>
                <w:tab w:val="left" w:pos="6915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drawing>
                <wp:inline distT="0" distB="0" distL="0" distR="0">
                  <wp:extent cx="3590925" cy="1578610"/>
                  <wp:effectExtent l="0" t="0" r="9525" b="254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0925" cy="1578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92768D">
            <w:pPr>
              <w:tabs>
                <w:tab w:val="left" w:pos="6915"/>
              </w:tabs>
              <w:spacing w:line="24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图1超高真空旋转台通孔尺寸及法兰尺寸要求示意图</w:t>
            </w:r>
          </w:p>
          <w:tbl>
            <w:tblPr>
              <w:tblStyle w:val="12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26"/>
              <w:gridCol w:w="3134"/>
            </w:tblGrid>
            <w:tr w14:paraId="2DDF4D2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  <w:jc w:val="center"/>
              </w:trPr>
              <w:tc>
                <w:tcPr>
                  <w:tcW w:w="4006" w:type="dxa"/>
                  <w:tcBorders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353FF9C1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8"/>
                      <w:szCs w:val="28"/>
                    </w:rPr>
                    <w:t>参数名称</w:t>
                  </w:r>
                </w:p>
              </w:tc>
              <w:tc>
                <w:tcPr>
                  <w:tcW w:w="4433" w:type="dxa"/>
                  <w:tcBorders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725D3508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8"/>
                      <w:szCs w:val="28"/>
                    </w:rPr>
                    <w:t>指标</w:t>
                  </w:r>
                </w:p>
              </w:tc>
            </w:tr>
            <w:tr w14:paraId="6755B8A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4006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2CFE2317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4"/>
                    </w:rPr>
                    <w:t>兼容真空度</w:t>
                  </w:r>
                </w:p>
              </w:tc>
              <w:tc>
                <w:tcPr>
                  <w:tcW w:w="4433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2C94E659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2</w:t>
                  </w:r>
                  <w:r>
                    <w:rPr>
                      <w:color w:val="000000"/>
                      <w:sz w:val="24"/>
                    </w:rPr>
                    <w:t>E</w:t>
                  </w:r>
                  <w:r>
                    <w:rPr>
                      <w:rFonts w:hint="eastAsia"/>
                      <w:color w:val="000000"/>
                      <w:sz w:val="24"/>
                    </w:rPr>
                    <w:t>-8</w:t>
                  </w:r>
                  <w:r>
                    <w:rPr>
                      <w:color w:val="000000"/>
                      <w:sz w:val="24"/>
                    </w:rPr>
                    <w:t>P</w:t>
                  </w:r>
                  <w:r>
                    <w:rPr>
                      <w:rFonts w:hint="eastAsia"/>
                      <w:color w:val="000000"/>
                      <w:sz w:val="24"/>
                    </w:rPr>
                    <w:t>a</w:t>
                  </w:r>
                </w:p>
              </w:tc>
            </w:tr>
            <w:tr w14:paraId="31A1237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4006" w:type="dxa"/>
                  <w:vAlign w:val="center"/>
                </w:tcPr>
                <w:p w14:paraId="5E98B93A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4"/>
                    </w:rPr>
                    <w:t>真空漏率</w:t>
                  </w:r>
                </w:p>
              </w:tc>
              <w:tc>
                <w:tcPr>
                  <w:tcW w:w="4433" w:type="dxa"/>
                  <w:vAlign w:val="center"/>
                </w:tcPr>
                <w:p w14:paraId="2406BD83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≤1</w:t>
                  </w:r>
                  <w:r>
                    <w:rPr>
                      <w:color w:val="000000"/>
                      <w:sz w:val="24"/>
                    </w:rPr>
                    <w:t>E</w:t>
                  </w:r>
                  <w:r>
                    <w:rPr>
                      <w:rFonts w:hint="eastAsia"/>
                      <w:color w:val="000000"/>
                      <w:sz w:val="24"/>
                    </w:rPr>
                    <w:t>-10</w:t>
                  </w:r>
                  <w:r>
                    <w:rPr>
                      <w:color w:val="000000"/>
                      <w:sz w:val="24"/>
                    </w:rPr>
                    <w:t>P</w:t>
                  </w:r>
                  <w:r>
                    <w:rPr>
                      <w:rFonts w:hint="eastAsia"/>
                      <w:color w:val="000000"/>
                      <w:sz w:val="24"/>
                    </w:rPr>
                    <w:t>a·L/s</w:t>
                  </w:r>
                </w:p>
              </w:tc>
            </w:tr>
            <w:tr w14:paraId="361DE5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  <w:jc w:val="center"/>
              </w:trPr>
              <w:tc>
                <w:tcPr>
                  <w:tcW w:w="4006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6AA0224A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4"/>
                    </w:rPr>
                    <w:t>行程</w:t>
                  </w:r>
                </w:p>
              </w:tc>
              <w:tc>
                <w:tcPr>
                  <w:tcW w:w="4433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1C506F84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360°</w:t>
                  </w:r>
                </w:p>
              </w:tc>
            </w:tr>
            <w:tr w14:paraId="7B4A302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8" w:hRule="atLeast"/>
                <w:jc w:val="center"/>
              </w:trPr>
              <w:tc>
                <w:tcPr>
                  <w:tcW w:w="4006" w:type="dxa"/>
                  <w:vAlign w:val="center"/>
                </w:tcPr>
                <w:p w14:paraId="33F80CC6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最小步长</w:t>
                  </w:r>
                </w:p>
              </w:tc>
              <w:tc>
                <w:tcPr>
                  <w:tcW w:w="4433" w:type="dxa"/>
                  <w:vAlign w:val="center"/>
                </w:tcPr>
                <w:p w14:paraId="4E0ED0E9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r>
                    <w:rPr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≤0.00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4</w:t>
                  </w:r>
                  <w:r>
                    <w:rPr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°</w:t>
                  </w:r>
                </w:p>
              </w:tc>
            </w:tr>
            <w:tr w14:paraId="6B19AB9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8" w:hRule="atLeast"/>
                <w:jc w:val="center"/>
              </w:trPr>
              <w:tc>
                <w:tcPr>
                  <w:tcW w:w="4006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68260ED3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开环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单向</w:t>
                  </w:r>
                  <w:r>
                    <w:rPr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定位精度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（不加光栅尺）</w:t>
                  </w:r>
                </w:p>
              </w:tc>
              <w:tc>
                <w:tcPr>
                  <w:tcW w:w="4433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17139995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r>
                    <w:rPr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≤0.0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05</w:t>
                  </w:r>
                  <w:r>
                    <w:rPr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°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@ 0-180°行程</w:t>
                  </w:r>
                </w:p>
              </w:tc>
            </w:tr>
            <w:tr w14:paraId="67F769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8" w:hRule="atLeast"/>
                <w:jc w:val="center"/>
              </w:trPr>
              <w:tc>
                <w:tcPr>
                  <w:tcW w:w="4006" w:type="dxa"/>
                  <w:vAlign w:val="center"/>
                </w:tcPr>
                <w:p w14:paraId="52D9D212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稳定性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（坐标漂移）</w:t>
                  </w:r>
                </w:p>
              </w:tc>
              <w:tc>
                <w:tcPr>
                  <w:tcW w:w="4433" w:type="dxa"/>
                  <w:vAlign w:val="center"/>
                </w:tcPr>
                <w:p w14:paraId="095CD82E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bookmarkStart w:id="0" w:name="OLE_LINK5"/>
                  <w:r>
                    <w:rPr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≤0.001°</w:t>
                  </w:r>
                  <w:bookmarkEnd w:id="0"/>
                </w:p>
              </w:tc>
            </w:tr>
            <w:tr w14:paraId="3A69CB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8" w:hRule="atLeast"/>
                <w:jc w:val="center"/>
              </w:trPr>
              <w:tc>
                <w:tcPr>
                  <w:tcW w:w="4006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1993B85D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可承受</w:t>
                  </w:r>
                  <w:r>
                    <w:rPr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负载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重量</w:t>
                  </w:r>
                </w:p>
              </w:tc>
              <w:tc>
                <w:tcPr>
                  <w:tcW w:w="4433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53148BBF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吊装≥200 kg</w:t>
                  </w:r>
                </w:p>
              </w:tc>
            </w:tr>
            <w:tr w14:paraId="209DA3C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8" w:hRule="atLeast"/>
                <w:jc w:val="center"/>
              </w:trPr>
              <w:tc>
                <w:tcPr>
                  <w:tcW w:w="4006" w:type="dxa"/>
                  <w:vAlign w:val="center"/>
                </w:tcPr>
                <w:p w14:paraId="07ADE885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4"/>
                    </w:rPr>
                    <w:t>可承受负载转动惯量</w:t>
                  </w:r>
                </w:p>
              </w:tc>
              <w:tc>
                <w:tcPr>
                  <w:tcW w:w="4433" w:type="dxa"/>
                  <w:vAlign w:val="center"/>
                </w:tcPr>
                <w:p w14:paraId="35BDFA94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≥35</w:t>
                  </w:r>
                  <w:r>
                    <w:rPr>
                      <w:color w:val="000000"/>
                      <w:sz w:val="24"/>
                    </w:rPr>
                    <w:t>kg</w:t>
                  </w:r>
                  <w:r>
                    <w:rPr>
                      <w:rFonts w:hint="eastAsia"/>
                      <w:color w:val="000000"/>
                      <w:sz w:val="24"/>
                    </w:rPr>
                    <w:t>·</w:t>
                  </w:r>
                  <w:r>
                    <w:rPr>
                      <w:color w:val="000000"/>
                      <w:sz w:val="24"/>
                    </w:rPr>
                    <w:t>m</w:t>
                  </w:r>
                  <w:r>
                    <w:rPr>
                      <w:color w:val="000000"/>
                      <w:sz w:val="24"/>
                      <w:vertAlign w:val="superscript"/>
                    </w:rPr>
                    <w:t>2</w:t>
                  </w:r>
                </w:p>
              </w:tc>
            </w:tr>
            <w:tr w14:paraId="362752A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  <w:jc w:val="center"/>
              </w:trPr>
              <w:tc>
                <w:tcPr>
                  <w:tcW w:w="4006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14A8ECCE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尺寸要求</w:t>
                  </w:r>
                </w:p>
              </w:tc>
              <w:tc>
                <w:tcPr>
                  <w:tcW w:w="4433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2F91573B">
                  <w:pPr>
                    <w:widowControl/>
                    <w:spacing w:line="240" w:lineRule="auto"/>
                    <w:jc w:val="center"/>
                    <w:rPr>
                      <w:color w:val="000000"/>
                      <w:sz w:val="24"/>
                    </w:rPr>
                  </w:pPr>
                  <w:r>
                    <w:rPr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通孔直径≥120 mm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，上下法兰安装孔位置直径均</w:t>
                  </w:r>
                  <w:r>
                    <w:rPr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≤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340</w:t>
                  </w:r>
                  <w:r>
                    <w:rPr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mm</w:t>
                  </w:r>
                </w:p>
              </w:tc>
            </w:tr>
            <w:tr w14:paraId="46796E9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6" w:hRule="atLeast"/>
                <w:jc w:val="center"/>
              </w:trPr>
              <w:tc>
                <w:tcPr>
                  <w:tcW w:w="4006" w:type="dxa"/>
                  <w:vAlign w:val="center"/>
                </w:tcPr>
                <w:p w14:paraId="06DA0084">
                  <w:pPr>
                    <w:widowControl/>
                    <w:spacing w:line="240" w:lineRule="auto"/>
                    <w:jc w:val="center"/>
                    <w:rPr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外壳材料</w:t>
                  </w:r>
                </w:p>
              </w:tc>
              <w:tc>
                <w:tcPr>
                  <w:tcW w:w="4433" w:type="dxa"/>
                  <w:vAlign w:val="center"/>
                </w:tcPr>
                <w:p w14:paraId="74528BAF">
                  <w:pPr>
                    <w:widowControl/>
                    <w:spacing w:line="240" w:lineRule="auto"/>
                    <w:jc w:val="center"/>
                    <w:rPr>
                      <w:bCs/>
                      <w:color w:val="000000"/>
                      <w:sz w:val="24"/>
                    </w:rPr>
                  </w:pPr>
                  <w:r>
                    <w:rPr>
                      <w:rFonts w:hint="eastAsia"/>
                      <w:bCs/>
                      <w:color w:val="000000" w:themeColor="text1"/>
                      <w:kern w:val="0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铝合金或无磁不锈钢材料（磁导率≤1.05）</w:t>
                  </w:r>
                </w:p>
              </w:tc>
            </w:tr>
          </w:tbl>
          <w:p w14:paraId="2DF7EEF9">
            <w:pPr>
              <w:tabs>
                <w:tab w:val="left" w:pos="6915"/>
              </w:tabs>
              <w:spacing w:line="240" w:lineRule="auto"/>
              <w:jc w:val="center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4"/>
              </w:rPr>
              <w:t>表1 衍射仪旋转台技术要求和运动参数要求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33892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交货期：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10个月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302532A0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交付进度：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一次性交付</w:t>
            </w:r>
          </w:p>
          <w:p w14:paraId="5ABB1D9A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付款方式：</w:t>
            </w:r>
          </w:p>
          <w:p w14:paraId="3437F344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1）国产设备：</w:t>
            </w:r>
          </w:p>
          <w:p w14:paraId="617C3ECF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（1）合同签订后，支付合同总价的50%；</w:t>
            </w:r>
          </w:p>
          <w:p w14:paraId="7682737F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（2）货到指定地点并且验收合格后，支付合同总价的50%。</w:t>
            </w:r>
          </w:p>
          <w:p w14:paraId="0595C959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2）进口设备：</w:t>
            </w:r>
          </w:p>
          <w:p w14:paraId="7DB26CF7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（1）凭发货运单以TT方式支付合同金额的90%；</w:t>
            </w:r>
          </w:p>
          <w:p w14:paraId="7CAD04CF">
            <w:p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（2）现场验收合格后支付合同总金额10%的尾款。</w:t>
            </w:r>
          </w:p>
          <w:p w14:paraId="017D9756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7675CED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以下指标要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求厂商出具测试报告</w:t>
            </w:r>
          </w:p>
          <w:tbl>
            <w:tblPr>
              <w:tblStyle w:val="12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55"/>
              <w:gridCol w:w="3105"/>
            </w:tblGrid>
            <w:tr w14:paraId="1E1B9D4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31" w:type="dxa"/>
                  <w:tcBorders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5AF847B5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4"/>
                      <w:szCs w:val="24"/>
                    </w:rPr>
                    <w:t>参数名称</w:t>
                  </w:r>
                </w:p>
              </w:tc>
              <w:tc>
                <w:tcPr>
                  <w:tcW w:w="4240" w:type="dxa"/>
                  <w:tcBorders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01E3E02C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4"/>
                      <w:szCs w:val="24"/>
                    </w:rPr>
                    <w:t>指标</w:t>
                  </w:r>
                </w:p>
              </w:tc>
            </w:tr>
            <w:tr w14:paraId="790906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3831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246E57FC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2"/>
                      <w:szCs w:val="21"/>
                    </w:rPr>
                    <w:t>兼容真空度</w:t>
                  </w:r>
                </w:p>
              </w:tc>
              <w:tc>
                <w:tcPr>
                  <w:tcW w:w="4240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38323431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2</w:t>
                  </w:r>
                  <w:r>
                    <w:rPr>
                      <w:color w:val="000000"/>
                      <w:sz w:val="22"/>
                      <w:szCs w:val="21"/>
                    </w:rPr>
                    <w:t>E</w:t>
                  </w: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-8</w:t>
                  </w:r>
                  <w:r>
                    <w:rPr>
                      <w:color w:val="000000"/>
                      <w:sz w:val="22"/>
                      <w:szCs w:val="21"/>
                    </w:rPr>
                    <w:t>P</w:t>
                  </w: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a</w:t>
                  </w:r>
                </w:p>
              </w:tc>
            </w:tr>
            <w:tr w14:paraId="48B7EF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3831" w:type="dxa"/>
                  <w:vAlign w:val="center"/>
                </w:tcPr>
                <w:p w14:paraId="6A59BFBA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2"/>
                      <w:szCs w:val="21"/>
                    </w:rPr>
                    <w:t>真空漏率</w:t>
                  </w:r>
                </w:p>
              </w:tc>
              <w:tc>
                <w:tcPr>
                  <w:tcW w:w="4240" w:type="dxa"/>
                  <w:vAlign w:val="center"/>
                </w:tcPr>
                <w:p w14:paraId="101D2242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≤1</w:t>
                  </w:r>
                  <w:r>
                    <w:rPr>
                      <w:color w:val="000000"/>
                      <w:sz w:val="22"/>
                      <w:szCs w:val="21"/>
                    </w:rPr>
                    <w:t>E</w:t>
                  </w: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-10</w:t>
                  </w:r>
                  <w:r>
                    <w:rPr>
                      <w:color w:val="000000"/>
                      <w:sz w:val="22"/>
                      <w:szCs w:val="21"/>
                    </w:rPr>
                    <w:t>P</w:t>
                  </w: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a·L/s</w:t>
                  </w:r>
                </w:p>
              </w:tc>
            </w:tr>
            <w:tr w14:paraId="1D285E3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3831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5374A3C9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2"/>
                      <w:szCs w:val="21"/>
                    </w:rPr>
                    <w:t>行程</w:t>
                  </w:r>
                </w:p>
              </w:tc>
              <w:tc>
                <w:tcPr>
                  <w:tcW w:w="4240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3CBC4178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360°</w:t>
                  </w:r>
                </w:p>
              </w:tc>
            </w:tr>
            <w:tr w14:paraId="0C5E990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31" w:type="dxa"/>
                  <w:vAlign w:val="center"/>
                </w:tcPr>
                <w:p w14:paraId="30B2C0EA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b/>
                      <w:bCs/>
                      <w:color w:val="000000" w:themeColor="text1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最小步长</w:t>
                  </w:r>
                </w:p>
              </w:tc>
              <w:tc>
                <w:tcPr>
                  <w:tcW w:w="4240" w:type="dxa"/>
                  <w:vAlign w:val="center"/>
                </w:tcPr>
                <w:p w14:paraId="549FAA8C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≤0.00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4</w:t>
                  </w:r>
                  <w:r>
                    <w:rPr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°</w:t>
                  </w:r>
                </w:p>
              </w:tc>
            </w:tr>
            <w:tr w14:paraId="7988BB6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31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24213EB1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开环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单向</w:t>
                  </w:r>
                  <w:r>
                    <w:rPr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定位精度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（不加光栅尺）</w:t>
                  </w:r>
                </w:p>
              </w:tc>
              <w:tc>
                <w:tcPr>
                  <w:tcW w:w="4240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2A6ED907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≤0.0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05</w:t>
                  </w:r>
                  <w:r>
                    <w:rPr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°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@ 0-180°行程</w:t>
                  </w:r>
                </w:p>
              </w:tc>
            </w:tr>
            <w:tr w14:paraId="120934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31" w:type="dxa"/>
                  <w:vAlign w:val="center"/>
                </w:tcPr>
                <w:p w14:paraId="0D897047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稳定性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（坐标漂移）</w:t>
                  </w:r>
                </w:p>
              </w:tc>
              <w:tc>
                <w:tcPr>
                  <w:tcW w:w="4240" w:type="dxa"/>
                  <w:vAlign w:val="center"/>
                </w:tcPr>
                <w:p w14:paraId="6CA506F7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≤0.001°</w:t>
                  </w:r>
                </w:p>
              </w:tc>
            </w:tr>
            <w:tr w14:paraId="7E25775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31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06268BA4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可承受</w:t>
                  </w:r>
                  <w:r>
                    <w:rPr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负载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重量</w:t>
                  </w:r>
                </w:p>
              </w:tc>
              <w:tc>
                <w:tcPr>
                  <w:tcW w:w="4240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0FC7C6E2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kern w:val="0"/>
                      <w:sz w:val="22"/>
                      <w:szCs w:val="21"/>
                    </w:rPr>
                    <w:t>吊装≥200 kg</w:t>
                  </w:r>
                </w:p>
              </w:tc>
            </w:tr>
            <w:tr w14:paraId="44C5E34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31" w:type="dxa"/>
                  <w:vAlign w:val="center"/>
                </w:tcPr>
                <w:p w14:paraId="7E5FF0A9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2"/>
                      <w:szCs w:val="21"/>
                    </w:rPr>
                    <w:t>可承受负载转动惯量</w:t>
                  </w:r>
                </w:p>
              </w:tc>
              <w:tc>
                <w:tcPr>
                  <w:tcW w:w="4240" w:type="dxa"/>
                  <w:vAlign w:val="center"/>
                </w:tcPr>
                <w:p w14:paraId="41A07C1B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≥35</w:t>
                  </w:r>
                  <w:r>
                    <w:rPr>
                      <w:color w:val="000000"/>
                      <w:sz w:val="22"/>
                      <w:szCs w:val="21"/>
                    </w:rPr>
                    <w:t>kg</w:t>
                  </w:r>
                  <w:r>
                    <w:rPr>
                      <w:rFonts w:hint="eastAsia"/>
                      <w:color w:val="000000"/>
                      <w:sz w:val="22"/>
                      <w:szCs w:val="21"/>
                    </w:rPr>
                    <w:t>·</w:t>
                  </w:r>
                  <w:r>
                    <w:rPr>
                      <w:color w:val="000000"/>
                      <w:sz w:val="22"/>
                      <w:szCs w:val="21"/>
                    </w:rPr>
                    <w:t>m</w:t>
                  </w:r>
                  <w:r>
                    <w:rPr>
                      <w:color w:val="000000"/>
                      <w:sz w:val="22"/>
                      <w:szCs w:val="21"/>
                      <w:vertAlign w:val="superscript"/>
                    </w:rPr>
                    <w:t>2</w:t>
                  </w:r>
                </w:p>
              </w:tc>
            </w:tr>
            <w:tr w14:paraId="4D6A7CF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31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76AC57CE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尺寸要求</w:t>
                  </w:r>
                </w:p>
              </w:tc>
              <w:tc>
                <w:tcPr>
                  <w:tcW w:w="4240" w:type="dxa"/>
                  <w:tcBorders>
                    <w:top w:val="single" w:color="7E7E7E" w:themeColor="text1" w:themeTint="80" w:sz="4" w:space="0"/>
                    <w:bottom w:val="single" w:color="7E7E7E" w:themeColor="text1" w:themeTint="80" w:sz="4" w:space="0"/>
                    <w:insideH w:val="single" w:sz="4" w:space="0"/>
                  </w:tcBorders>
                  <w:vAlign w:val="center"/>
                </w:tcPr>
                <w:p w14:paraId="4CB16B34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通孔直径≥120 mm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，上下法兰安装孔位置直径均</w:t>
                  </w:r>
                  <w:r>
                    <w:rPr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≤</w:t>
                  </w:r>
                  <w:r>
                    <w:rPr>
                      <w:rFonts w:hint="eastAsia"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340</w:t>
                  </w:r>
                  <w:r>
                    <w:rPr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mm</w:t>
                  </w:r>
                </w:p>
              </w:tc>
            </w:tr>
            <w:tr w14:paraId="3E78B40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31" w:type="dxa"/>
                  <w:vAlign w:val="center"/>
                </w:tcPr>
                <w:p w14:paraId="0949BA40">
                  <w:pPr>
                    <w:widowControl/>
                    <w:spacing w:line="420" w:lineRule="atLeast"/>
                    <w:jc w:val="center"/>
                    <w:rPr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b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外壳材料</w:t>
                  </w:r>
                </w:p>
              </w:tc>
              <w:tc>
                <w:tcPr>
                  <w:tcW w:w="4240" w:type="dxa"/>
                  <w:vAlign w:val="center"/>
                </w:tcPr>
                <w:p w14:paraId="6C7ACF89">
                  <w:pPr>
                    <w:widowControl/>
                    <w:spacing w:line="420" w:lineRule="atLeast"/>
                    <w:jc w:val="center"/>
                    <w:rPr>
                      <w:color w:val="000000"/>
                      <w:sz w:val="22"/>
                      <w:szCs w:val="21"/>
                    </w:rPr>
                  </w:pPr>
                  <w:r>
                    <w:rPr>
                      <w:rFonts w:hint="eastAsia"/>
                      <w:b w:val="0"/>
                      <w:bCs/>
                      <w:color w:val="000000" w:themeColor="text1"/>
                      <w:kern w:val="0"/>
                      <w:sz w:val="22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铝合金或无磁不锈钢材料（磁导率≤1.05）</w:t>
                  </w:r>
                </w:p>
              </w:tc>
            </w:tr>
          </w:tbl>
          <w:p w14:paraId="2BCE08EC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12个月（保修期自设备验收合格之日起计算）</w:t>
            </w:r>
            <w:bookmarkStart w:id="1" w:name="_GoBack"/>
            <w:bookmarkEnd w:id="1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690794C"/>
    <w:rsid w:val="1BE86CE2"/>
    <w:rsid w:val="2D070EC5"/>
    <w:rsid w:val="360A3BBE"/>
    <w:rsid w:val="46BB5348"/>
    <w:rsid w:val="5193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  <w:style w:type="table" w:customStyle="1" w:styleId="12">
    <w:name w:val="Plain Table 2"/>
    <w:basedOn w:val="5"/>
    <w:qFormat/>
    <w:uiPriority w:val="42"/>
    <w:rPr>
      <w:rFonts w:ascii="Times New Roman" w:hAnsi="Times New Roman" w:eastAsia="宋体" w:cs="Times New Roman"/>
    </w:r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961</Words>
  <Characters>1331</Characters>
  <Lines>4</Lines>
  <Paragraphs>1</Paragraphs>
  <TotalTime>0</TotalTime>
  <ScaleCrop>false</ScaleCrop>
  <LinksUpToDate>false</LinksUpToDate>
  <CharactersWithSpaces>1375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2026-01-22T08:45:51Z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eyJoZGlkIjoiYjE3YzU3MDJlZmQ0ZTUyNWYxMTBiMGZiOWE3OTRlNWQiLCJ1c2VySWQiOiIxNzc0OTA2Mjk1In0=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