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9955E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0973E65B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3E58F52B"/>
    <w:tbl>
      <w:tblPr>
        <w:tblStyle w:val="6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22"/>
        <w:gridCol w:w="5244"/>
        <w:gridCol w:w="1418"/>
        <w:gridCol w:w="992"/>
      </w:tblGrid>
      <w:tr w14:paraId="3979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75C250B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422" w:type="dxa"/>
            <w:vAlign w:val="center"/>
          </w:tcPr>
          <w:p w14:paraId="3A9FF52B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5244" w:type="dxa"/>
            <w:vAlign w:val="center"/>
          </w:tcPr>
          <w:p w14:paraId="258D475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技术指标</w:t>
            </w:r>
          </w:p>
        </w:tc>
        <w:tc>
          <w:tcPr>
            <w:tcW w:w="1418" w:type="dxa"/>
            <w:vAlign w:val="center"/>
          </w:tcPr>
          <w:p w14:paraId="37F7A556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偏离说明</w:t>
            </w:r>
          </w:p>
          <w:p w14:paraId="328E92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无偏离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正偏离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负偏离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2A89C1E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偏离值</w:t>
            </w:r>
          </w:p>
        </w:tc>
      </w:tr>
      <w:tr w14:paraId="3943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705" w:type="dxa"/>
            <w:vAlign w:val="center"/>
          </w:tcPr>
          <w:p w14:paraId="185CA09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0FD52C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电流放大器</w:t>
            </w:r>
          </w:p>
        </w:tc>
        <w:tc>
          <w:tcPr>
            <w:tcW w:w="52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FF22473">
            <w:pPr>
              <w:tabs>
                <w:tab w:val="left" w:pos="6915"/>
              </w:tabs>
              <w:spacing w:line="240" w:lineRule="auto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采购</w:t>
            </w:r>
            <w:r>
              <w:rPr>
                <w:rFonts w:ascii="宋体" w:hAnsi="宋体" w:cs="宋体"/>
                <w:bCs/>
                <w:szCs w:val="21"/>
              </w:rPr>
              <w:t>8</w:t>
            </w:r>
            <w:r>
              <w:rPr>
                <w:rFonts w:hint="eastAsia" w:ascii="宋体" w:hAnsi="宋体" w:cs="宋体"/>
                <w:bCs/>
                <w:szCs w:val="21"/>
              </w:rPr>
              <w:t>套电流放大器，每套电流放大器具体技术参数要求如下：</w:t>
            </w:r>
          </w:p>
          <w:tbl>
            <w:tblPr>
              <w:tblStyle w:val="5"/>
              <w:tblW w:w="4560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09"/>
              <w:gridCol w:w="2751"/>
            </w:tblGrid>
            <w:tr w14:paraId="0DDA652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4560" w:type="dxa"/>
                  <w:gridSpan w:val="2"/>
                  <w:vAlign w:val="center"/>
                </w:tcPr>
                <w:p w14:paraId="21A68F76">
                  <w:pPr>
                    <w:tabs>
                      <w:tab w:val="left" w:pos="6915"/>
                    </w:tabs>
                    <w:spacing w:line="240" w:lineRule="auto"/>
                    <w:jc w:val="center"/>
                    <w:rPr>
                      <w:b/>
                      <w:szCs w:val="21"/>
                    </w:rPr>
                  </w:pPr>
                  <w:r>
                    <w:rPr>
                      <w:b/>
                      <w:szCs w:val="21"/>
                    </w:rPr>
                    <w:t>技术参数</w:t>
                  </w:r>
                </w:p>
              </w:tc>
            </w:tr>
            <w:tr w14:paraId="5D8BC11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1809" w:type="dxa"/>
                  <w:vAlign w:val="center"/>
                </w:tcPr>
                <w:p w14:paraId="0E67675B">
                  <w:pPr>
                    <w:tabs>
                      <w:tab w:val="left" w:pos="6915"/>
                    </w:tabs>
                    <w:spacing w:line="240" w:lineRule="auto"/>
                    <w:jc w:val="center"/>
                    <w:rPr>
                      <w:rFonts w:asciiTheme="majorEastAsia" w:hAnsiTheme="majorEastAsia" w:eastAsiaTheme="majorEastAsia"/>
                      <w:b/>
                      <w:szCs w:val="21"/>
                    </w:rPr>
                  </w:pP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>跨阻增益（V</w:t>
                  </w:r>
                  <w:r>
                    <w:rPr>
                      <w:rFonts w:asciiTheme="majorEastAsia" w:hAnsiTheme="majorEastAsia" w:eastAsiaTheme="majorEastAsia"/>
                      <w:b/>
                      <w:szCs w:val="21"/>
                    </w:rPr>
                    <w:t>/A</w:t>
                  </w: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>）</w:t>
                  </w:r>
                </w:p>
              </w:tc>
              <w:tc>
                <w:tcPr>
                  <w:tcW w:w="2751" w:type="dxa"/>
                  <w:noWrap/>
                  <w:vAlign w:val="bottom"/>
                </w:tcPr>
                <w:p w14:paraId="2FF4CDE6">
                  <w:pPr>
                    <w:tabs>
                      <w:tab w:val="left" w:pos="6915"/>
                    </w:tabs>
                    <w:spacing w:line="240" w:lineRule="auto"/>
                    <w:jc w:val="center"/>
                    <w:rPr>
                      <w:rFonts w:asciiTheme="majorEastAsia" w:hAnsiTheme="majorEastAsia" w:eastAsiaTheme="majorEastAsia"/>
                      <w:b/>
                      <w:szCs w:val="21"/>
                      <w:vertAlign w:val="superscript"/>
                    </w:rPr>
                  </w:pP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>七档，分别为10</w:t>
                  </w: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  <w:vertAlign w:val="superscript"/>
                    </w:rPr>
                    <w:t>5</w:t>
                  </w: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>、10</w:t>
                  </w: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  <w:vertAlign w:val="superscript"/>
                    </w:rPr>
                    <w:t>6</w:t>
                  </w: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>、10</w:t>
                  </w: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  <w:vertAlign w:val="superscript"/>
                    </w:rPr>
                    <w:t>7</w:t>
                  </w: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>、10</w:t>
                  </w: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  <w:vertAlign w:val="superscript"/>
                    </w:rPr>
                    <w:t>8</w:t>
                  </w: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>、10</w:t>
                  </w: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  <w:vertAlign w:val="superscript"/>
                    </w:rPr>
                    <w:t>9、</w:t>
                  </w: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>10</w:t>
                  </w: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  <w:vertAlign w:val="superscript"/>
                    </w:rPr>
                    <w:t>10</w:t>
                  </w: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>、10</w:t>
                  </w: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  <w:vertAlign w:val="superscript"/>
                    </w:rPr>
                    <w:t>11</w:t>
                  </w:r>
                </w:p>
              </w:tc>
            </w:tr>
            <w:tr w14:paraId="6757C91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1809" w:type="dxa"/>
                  <w:vAlign w:val="center"/>
                </w:tcPr>
                <w:p w14:paraId="7F1ADC65">
                  <w:pPr>
                    <w:tabs>
                      <w:tab w:val="left" w:pos="6915"/>
                    </w:tabs>
                    <w:spacing w:line="240" w:lineRule="auto"/>
                    <w:jc w:val="center"/>
                    <w:rPr>
                      <w:rFonts w:asciiTheme="majorEastAsia" w:hAnsiTheme="majorEastAsia" w:eastAsiaTheme="majorEastAsia"/>
                      <w:b/>
                      <w:szCs w:val="21"/>
                    </w:rPr>
                  </w:pPr>
                  <w:r>
                    <w:rPr>
                      <w:rFonts w:asciiTheme="majorEastAsia" w:hAnsiTheme="majorEastAsia" w:eastAsiaTheme="majorEastAsia"/>
                      <w:b/>
                      <w:szCs w:val="21"/>
                    </w:rPr>
                    <w:t>最大带宽</w:t>
                  </w:r>
                </w:p>
              </w:tc>
              <w:tc>
                <w:tcPr>
                  <w:tcW w:w="2751" w:type="dxa"/>
                  <w:noWrap/>
                  <w:vAlign w:val="bottom"/>
                </w:tcPr>
                <w:p w14:paraId="4486181C">
                  <w:pPr>
                    <w:tabs>
                      <w:tab w:val="left" w:pos="6915"/>
                    </w:tabs>
                    <w:spacing w:line="240" w:lineRule="auto"/>
                    <w:jc w:val="center"/>
                    <w:rPr>
                      <w:rFonts w:asciiTheme="majorEastAsia" w:hAnsiTheme="majorEastAsia" w:eastAsiaTheme="majorEastAsia"/>
                      <w:b/>
                      <w:szCs w:val="21"/>
                    </w:rPr>
                  </w:pPr>
                  <w:r>
                    <w:rPr>
                      <w:rFonts w:asciiTheme="majorEastAsia" w:hAnsiTheme="majorEastAsia" w:eastAsiaTheme="majorEastAsia"/>
                      <w:b/>
                      <w:szCs w:val="21"/>
                    </w:rPr>
                    <w:t>≥500 kHz</w:t>
                  </w:r>
                </w:p>
              </w:tc>
            </w:tr>
            <w:tr w14:paraId="7EC4B57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1809" w:type="dxa"/>
                  <w:vAlign w:val="center"/>
                </w:tcPr>
                <w:p w14:paraId="2DCAEFF8">
                  <w:pPr>
                    <w:tabs>
                      <w:tab w:val="left" w:pos="6915"/>
                    </w:tabs>
                    <w:spacing w:line="240" w:lineRule="auto"/>
                    <w:jc w:val="center"/>
                    <w:rPr>
                      <w:rFonts w:asciiTheme="majorEastAsia" w:hAnsiTheme="majorEastAsia" w:eastAsiaTheme="majorEastAsia"/>
                      <w:b/>
                      <w:szCs w:val="21"/>
                    </w:rPr>
                  </w:pP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>最快</w:t>
                  </w:r>
                  <w:r>
                    <w:rPr>
                      <w:rFonts w:asciiTheme="majorEastAsia" w:hAnsiTheme="majorEastAsia" w:eastAsiaTheme="majorEastAsia"/>
                      <w:b/>
                      <w:szCs w:val="21"/>
                    </w:rPr>
                    <w:t>上升时间（10%-90%）</w:t>
                  </w:r>
                </w:p>
              </w:tc>
              <w:tc>
                <w:tcPr>
                  <w:tcW w:w="2751" w:type="dxa"/>
                  <w:noWrap/>
                  <w:vAlign w:val="bottom"/>
                </w:tcPr>
                <w:p w14:paraId="5D64CACB">
                  <w:pPr>
                    <w:tabs>
                      <w:tab w:val="left" w:pos="6915"/>
                    </w:tabs>
                    <w:spacing w:line="240" w:lineRule="auto"/>
                    <w:jc w:val="center"/>
                    <w:rPr>
                      <w:rFonts w:asciiTheme="majorEastAsia" w:hAnsiTheme="majorEastAsia" w:eastAsiaTheme="majorEastAsia"/>
                      <w:b/>
                      <w:szCs w:val="21"/>
                    </w:rPr>
                  </w:pP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>≤</w:t>
                  </w:r>
                  <w:r>
                    <w:rPr>
                      <w:rFonts w:asciiTheme="majorEastAsia" w:hAnsiTheme="majorEastAsia" w:eastAsiaTheme="majorEastAsia"/>
                      <w:b/>
                      <w:szCs w:val="21"/>
                    </w:rPr>
                    <w:t xml:space="preserve">700 </w:t>
                  </w: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>n</w:t>
                  </w:r>
                  <w:r>
                    <w:rPr>
                      <w:rFonts w:asciiTheme="majorEastAsia" w:hAnsiTheme="majorEastAsia" w:eastAsiaTheme="majorEastAsia"/>
                      <w:b/>
                      <w:szCs w:val="21"/>
                    </w:rPr>
                    <w:t>s</w:t>
                  </w:r>
                </w:p>
              </w:tc>
            </w:tr>
            <w:tr w14:paraId="66C1D9B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1809" w:type="dxa"/>
                  <w:vAlign w:val="center"/>
                </w:tcPr>
                <w:p w14:paraId="44908750">
                  <w:pPr>
                    <w:tabs>
                      <w:tab w:val="left" w:pos="6915"/>
                    </w:tabs>
                    <w:spacing w:line="240" w:lineRule="auto"/>
                    <w:jc w:val="center"/>
                    <w:rPr>
                      <w:rFonts w:asciiTheme="majorEastAsia" w:hAnsiTheme="majorEastAsia" w:eastAsiaTheme="majorEastAsia"/>
                      <w:b/>
                      <w:szCs w:val="21"/>
                    </w:rPr>
                  </w:pP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>等效输入噪声电流</w:t>
                  </w:r>
                </w:p>
              </w:tc>
              <w:tc>
                <w:tcPr>
                  <w:tcW w:w="2751" w:type="dxa"/>
                  <w:noWrap/>
                  <w:vAlign w:val="bottom"/>
                </w:tcPr>
                <w:p w14:paraId="77A3ECD7">
                  <w:pPr>
                    <w:tabs>
                      <w:tab w:val="left" w:pos="6915"/>
                    </w:tabs>
                    <w:spacing w:line="240" w:lineRule="auto"/>
                    <w:jc w:val="center"/>
                    <w:rPr>
                      <w:rFonts w:asciiTheme="majorEastAsia" w:hAnsiTheme="majorEastAsia" w:eastAsiaTheme="majorEastAsia"/>
                      <w:b/>
                      <w:szCs w:val="21"/>
                    </w:rPr>
                  </w:pP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>≤</w:t>
                  </w:r>
                  <w:r>
                    <w:rPr>
                      <w:rFonts w:asciiTheme="majorEastAsia" w:hAnsiTheme="majorEastAsia" w:eastAsiaTheme="majorEastAsia"/>
                      <w:b/>
                      <w:szCs w:val="21"/>
                    </w:rPr>
                    <w:t>13 pA</w:t>
                  </w:r>
                </w:p>
              </w:tc>
            </w:tr>
            <w:tr w14:paraId="5D1E812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1809" w:type="dxa"/>
                  <w:vAlign w:val="center"/>
                </w:tcPr>
                <w:p w14:paraId="35C9DA48">
                  <w:pPr>
                    <w:tabs>
                      <w:tab w:val="left" w:pos="6915"/>
                    </w:tabs>
                    <w:spacing w:line="240" w:lineRule="auto"/>
                    <w:jc w:val="center"/>
                    <w:rPr>
                      <w:rFonts w:asciiTheme="majorEastAsia" w:hAnsiTheme="majorEastAsia" w:eastAsiaTheme="majorEastAsia"/>
                      <w:b/>
                      <w:szCs w:val="21"/>
                    </w:rPr>
                  </w:pP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>增益误差</w:t>
                  </w:r>
                </w:p>
              </w:tc>
              <w:tc>
                <w:tcPr>
                  <w:tcW w:w="2751" w:type="dxa"/>
                  <w:noWrap/>
                  <w:vAlign w:val="bottom"/>
                </w:tcPr>
                <w:p w14:paraId="1BC7DAB8">
                  <w:pPr>
                    <w:tabs>
                      <w:tab w:val="left" w:pos="6915"/>
                    </w:tabs>
                    <w:spacing w:line="240" w:lineRule="auto"/>
                    <w:jc w:val="center"/>
                    <w:rPr>
                      <w:rFonts w:asciiTheme="majorEastAsia" w:hAnsiTheme="majorEastAsia" w:eastAsiaTheme="majorEastAsia"/>
                      <w:b/>
                      <w:szCs w:val="21"/>
                    </w:rPr>
                  </w:pP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>≤±</w:t>
                  </w:r>
                  <w:r>
                    <w:rPr>
                      <w:rFonts w:asciiTheme="majorEastAsia" w:hAnsiTheme="majorEastAsia" w:eastAsiaTheme="majorEastAsia"/>
                      <w:b/>
                      <w:szCs w:val="21"/>
                    </w:rPr>
                    <w:t>1%</w:t>
                  </w:r>
                </w:p>
              </w:tc>
            </w:tr>
            <w:tr w14:paraId="7E889D3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1809" w:type="dxa"/>
                  <w:vAlign w:val="center"/>
                </w:tcPr>
                <w:p w14:paraId="764DE433">
                  <w:pPr>
                    <w:tabs>
                      <w:tab w:val="left" w:pos="6915"/>
                    </w:tabs>
                    <w:spacing w:line="240" w:lineRule="auto"/>
                    <w:jc w:val="center"/>
                    <w:rPr>
                      <w:rFonts w:asciiTheme="majorEastAsia" w:hAnsiTheme="majorEastAsia" w:eastAsiaTheme="majorEastAsia"/>
                      <w:b/>
                      <w:szCs w:val="21"/>
                    </w:rPr>
                  </w:pP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>频响平坦度</w:t>
                  </w:r>
                </w:p>
              </w:tc>
              <w:tc>
                <w:tcPr>
                  <w:tcW w:w="2751" w:type="dxa"/>
                  <w:noWrap/>
                  <w:vAlign w:val="bottom"/>
                </w:tcPr>
                <w:p w14:paraId="25385E5B">
                  <w:pPr>
                    <w:tabs>
                      <w:tab w:val="left" w:pos="6915"/>
                    </w:tabs>
                    <w:spacing w:line="240" w:lineRule="auto"/>
                    <w:jc w:val="center"/>
                    <w:rPr>
                      <w:rFonts w:asciiTheme="majorEastAsia" w:hAnsiTheme="majorEastAsia" w:eastAsiaTheme="majorEastAsia"/>
                      <w:b/>
                      <w:szCs w:val="21"/>
                    </w:rPr>
                  </w:pP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>≤0.1 dB</w:t>
                  </w:r>
                </w:p>
              </w:tc>
            </w:tr>
            <w:tr w14:paraId="1F0C0A6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1809" w:type="dxa"/>
                  <w:vAlign w:val="center"/>
                </w:tcPr>
                <w:p w14:paraId="5A03AD0E">
                  <w:pPr>
                    <w:tabs>
                      <w:tab w:val="left" w:pos="6915"/>
                    </w:tabs>
                    <w:spacing w:line="240" w:lineRule="auto"/>
                    <w:jc w:val="center"/>
                    <w:rPr>
                      <w:rFonts w:asciiTheme="majorEastAsia" w:hAnsiTheme="majorEastAsia" w:eastAsiaTheme="majorEastAsia"/>
                      <w:b/>
                      <w:szCs w:val="21"/>
                    </w:rPr>
                  </w:pP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>供电电压</w:t>
                  </w:r>
                </w:p>
              </w:tc>
              <w:tc>
                <w:tcPr>
                  <w:tcW w:w="2751" w:type="dxa"/>
                  <w:noWrap/>
                  <w:vAlign w:val="bottom"/>
                </w:tcPr>
                <w:p w14:paraId="5A12D1EB">
                  <w:pPr>
                    <w:tabs>
                      <w:tab w:val="left" w:pos="6915"/>
                    </w:tabs>
                    <w:spacing w:line="240" w:lineRule="auto"/>
                    <w:jc w:val="center"/>
                    <w:rPr>
                      <w:rFonts w:asciiTheme="majorEastAsia" w:hAnsiTheme="majorEastAsia" w:eastAsiaTheme="majorEastAsia"/>
                      <w:b/>
                      <w:szCs w:val="21"/>
                    </w:rPr>
                  </w:pP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>±15 V</w:t>
                  </w:r>
                </w:p>
              </w:tc>
            </w:tr>
            <w:tr w14:paraId="781C73B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9" w:hRule="atLeast"/>
                <w:jc w:val="center"/>
              </w:trPr>
              <w:tc>
                <w:tcPr>
                  <w:tcW w:w="1809" w:type="dxa"/>
                </w:tcPr>
                <w:p w14:paraId="2BF8BA36">
                  <w:pPr>
                    <w:tabs>
                      <w:tab w:val="left" w:pos="6915"/>
                    </w:tabs>
                    <w:spacing w:line="240" w:lineRule="auto"/>
                    <w:jc w:val="center"/>
                    <w:rPr>
                      <w:rFonts w:asciiTheme="majorEastAsia" w:hAnsiTheme="majorEastAsia" w:eastAsiaTheme="majorEastAsia"/>
                      <w:b/>
                      <w:szCs w:val="21"/>
                    </w:rPr>
                  </w:pP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>控制接口</w:t>
                  </w:r>
                </w:p>
              </w:tc>
              <w:tc>
                <w:tcPr>
                  <w:tcW w:w="2751" w:type="dxa"/>
                  <w:noWrap/>
                </w:tcPr>
                <w:p w14:paraId="000C6F74">
                  <w:pPr>
                    <w:tabs>
                      <w:tab w:val="left" w:pos="6915"/>
                    </w:tabs>
                    <w:spacing w:line="240" w:lineRule="auto"/>
                    <w:jc w:val="center"/>
                    <w:rPr>
                      <w:rFonts w:asciiTheme="majorEastAsia" w:hAnsiTheme="majorEastAsia" w:eastAsiaTheme="majorEastAsia"/>
                      <w:b/>
                      <w:szCs w:val="21"/>
                    </w:rPr>
                  </w:pP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>兼容TTL/CMOS</w:t>
                  </w:r>
                </w:p>
              </w:tc>
            </w:tr>
          </w:tbl>
          <w:p w14:paraId="3D2D11D9">
            <w:pPr>
              <w:pStyle w:val="11"/>
              <w:numPr>
                <w:ilvl w:val="0"/>
                <w:numId w:val="0"/>
              </w:numPr>
              <w:ind w:left="360" w:leftChars="0" w:hanging="360" w:firstLineChars="0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205FF5AB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1C60665B">
            <w:pPr>
              <w:spacing w:line="240" w:lineRule="atLeast"/>
              <w:jc w:val="center"/>
            </w:pPr>
          </w:p>
        </w:tc>
      </w:tr>
      <w:tr w14:paraId="497E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705" w:type="dxa"/>
            <w:vAlign w:val="center"/>
          </w:tcPr>
          <w:p w14:paraId="21D5CC9B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188C">
            <w:pPr>
              <w:widowControl/>
              <w:spacing w:line="240" w:lineRule="atLeast"/>
              <w:jc w:val="center"/>
            </w:pPr>
            <w:r>
              <w:rPr>
                <w:rFonts w:hint="eastAsia"/>
              </w:rPr>
              <w:t>商务条款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C6791">
            <w:pPr>
              <w:tabs>
                <w:tab w:val="left" w:pos="6915"/>
              </w:tabs>
              <w:spacing w:line="24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交货期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</w:rPr>
              <w:t>签订合同后8个月内</w:t>
            </w:r>
          </w:p>
          <w:p w14:paraId="1263B4E5">
            <w:pPr>
              <w:tabs>
                <w:tab w:val="left" w:pos="6915"/>
              </w:tabs>
              <w:spacing w:line="24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付款方式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</w:rPr>
              <w:t>（1）合同签订后，支付合同总价的</w:t>
            </w:r>
            <w:r>
              <w:rPr>
                <w:rFonts w:ascii="宋体" w:hAnsi="宋体"/>
                <w:bCs/>
                <w:szCs w:val="21"/>
              </w:rPr>
              <w:t>3</w:t>
            </w:r>
            <w:r>
              <w:rPr>
                <w:rFonts w:hint="eastAsia" w:ascii="宋体" w:hAnsi="宋体"/>
                <w:bCs/>
                <w:szCs w:val="21"/>
              </w:rPr>
              <w:t>0%；（2）货到买方指定地点并且经买方验收合格后，支付合同总价的</w:t>
            </w:r>
            <w:r>
              <w:rPr>
                <w:rFonts w:ascii="宋体" w:hAnsi="宋体"/>
                <w:bCs/>
                <w:szCs w:val="21"/>
              </w:rPr>
              <w:t>7</w:t>
            </w:r>
            <w:r>
              <w:rPr>
                <w:rFonts w:hint="eastAsia" w:ascii="宋体" w:hAnsi="宋体"/>
                <w:bCs/>
                <w:szCs w:val="21"/>
              </w:rPr>
              <w:t>0%。</w:t>
            </w:r>
          </w:p>
          <w:p w14:paraId="37A31E65">
            <w:pPr>
              <w:tabs>
                <w:tab w:val="left" w:pos="6915"/>
              </w:tabs>
              <w:spacing w:line="24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验收指标及验收要求：</w:t>
            </w:r>
            <w:r>
              <w:rPr>
                <w:rFonts w:hint="eastAsia" w:ascii="宋体" w:hAnsi="宋体"/>
                <w:bCs/>
                <w:szCs w:val="21"/>
              </w:rPr>
              <w:t>提供出厂报告。</w:t>
            </w:r>
            <w:r>
              <w:rPr>
                <w:rFonts w:hint="eastAsia" w:ascii="宋体" w:hAnsi="宋体"/>
                <w:b/>
                <w:szCs w:val="21"/>
              </w:rPr>
              <w:t xml:space="preserve"> </w:t>
            </w:r>
          </w:p>
          <w:p w14:paraId="71EBE3FF">
            <w:pPr>
              <w:tabs>
                <w:tab w:val="left" w:pos="6915"/>
              </w:tabs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szCs w:val="21"/>
              </w:rPr>
              <w:t>保修</w:t>
            </w:r>
            <w:r>
              <w:rPr>
                <w:rFonts w:ascii="宋体" w:hAnsi="宋体"/>
                <w:b/>
                <w:szCs w:val="21"/>
              </w:rPr>
              <w:t>及售后服务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</w:rPr>
              <w:t>提供至少1年的免费保修，包含人工、维修及零件等费用。在保修期内，供货商需要及时提供维修服务，包括产品的正常检修、维护等。保修期自验收签字之日算起，保修期内因质量问题而导致设备停用的时间从保修期中扣除。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14:paraId="324B1D27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06AA2CA0">
            <w:pPr>
              <w:spacing w:line="240" w:lineRule="atLeast"/>
              <w:jc w:val="center"/>
            </w:pPr>
          </w:p>
        </w:tc>
      </w:tr>
    </w:tbl>
    <w:p w14:paraId="6DFFEB29">
      <w:pPr>
        <w:ind w:right="840"/>
        <w:rPr>
          <w:sz w:val="24"/>
        </w:rPr>
      </w:pPr>
    </w:p>
    <w:p w14:paraId="0DED7F3B">
      <w:pPr>
        <w:ind w:right="840" w:firstLine="5040" w:firstLineChars="2100"/>
        <w:rPr>
          <w:sz w:val="24"/>
        </w:rPr>
      </w:pPr>
    </w:p>
    <w:p w14:paraId="6B36AD4F">
      <w:pPr>
        <w:ind w:right="840" w:firstLine="5040" w:firstLineChars="2100"/>
        <w:rPr>
          <w:sz w:val="24"/>
        </w:rPr>
      </w:pPr>
      <w:r>
        <w:rPr>
          <w:sz w:val="24"/>
        </w:rPr>
        <w:t>公司名称</w:t>
      </w:r>
      <w:r>
        <w:rPr>
          <w:rFonts w:hint="eastAsia"/>
          <w:sz w:val="24"/>
        </w:rPr>
        <w:t>（盖章）：</w:t>
      </w:r>
    </w:p>
    <w:p w14:paraId="2BA3965A">
      <w:pPr>
        <w:ind w:right="840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日期</w:t>
      </w:r>
      <w:r>
        <w:rPr>
          <w:rFonts w:hint="eastAsia"/>
          <w:sz w:val="24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YaHei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37"/>
    <w:rsid w:val="000110C4"/>
    <w:rsid w:val="00015CB8"/>
    <w:rsid w:val="00020783"/>
    <w:rsid w:val="00025804"/>
    <w:rsid w:val="00050922"/>
    <w:rsid w:val="00086882"/>
    <w:rsid w:val="00090223"/>
    <w:rsid w:val="00091C8D"/>
    <w:rsid w:val="000E54CE"/>
    <w:rsid w:val="00102C13"/>
    <w:rsid w:val="00123779"/>
    <w:rsid w:val="001501D1"/>
    <w:rsid w:val="001548E0"/>
    <w:rsid w:val="001B219D"/>
    <w:rsid w:val="001D3367"/>
    <w:rsid w:val="002026B2"/>
    <w:rsid w:val="002212AC"/>
    <w:rsid w:val="00261EE1"/>
    <w:rsid w:val="00267E42"/>
    <w:rsid w:val="002D1729"/>
    <w:rsid w:val="002E518A"/>
    <w:rsid w:val="003009AA"/>
    <w:rsid w:val="003438B5"/>
    <w:rsid w:val="00363C73"/>
    <w:rsid w:val="003923FC"/>
    <w:rsid w:val="003C2330"/>
    <w:rsid w:val="003C7C5A"/>
    <w:rsid w:val="004626C3"/>
    <w:rsid w:val="00474B94"/>
    <w:rsid w:val="004973C3"/>
    <w:rsid w:val="004B0D2F"/>
    <w:rsid w:val="00516FB3"/>
    <w:rsid w:val="00547A75"/>
    <w:rsid w:val="00584F75"/>
    <w:rsid w:val="005C4758"/>
    <w:rsid w:val="005C4AA6"/>
    <w:rsid w:val="005E2C0C"/>
    <w:rsid w:val="005F14E0"/>
    <w:rsid w:val="005F7E7B"/>
    <w:rsid w:val="006074C0"/>
    <w:rsid w:val="00630F8F"/>
    <w:rsid w:val="00642CDA"/>
    <w:rsid w:val="00670B3D"/>
    <w:rsid w:val="006C07B4"/>
    <w:rsid w:val="006D67E0"/>
    <w:rsid w:val="00705387"/>
    <w:rsid w:val="00720BC4"/>
    <w:rsid w:val="007230C5"/>
    <w:rsid w:val="00731AE1"/>
    <w:rsid w:val="00744E8E"/>
    <w:rsid w:val="00750961"/>
    <w:rsid w:val="00757D88"/>
    <w:rsid w:val="007A4C29"/>
    <w:rsid w:val="007B2AE3"/>
    <w:rsid w:val="00811B08"/>
    <w:rsid w:val="00825420"/>
    <w:rsid w:val="00832C3E"/>
    <w:rsid w:val="00872767"/>
    <w:rsid w:val="00877DA3"/>
    <w:rsid w:val="00886A2E"/>
    <w:rsid w:val="008A717C"/>
    <w:rsid w:val="008D62B6"/>
    <w:rsid w:val="008E3DB8"/>
    <w:rsid w:val="008F0FFC"/>
    <w:rsid w:val="008F5C2B"/>
    <w:rsid w:val="009149BA"/>
    <w:rsid w:val="00961437"/>
    <w:rsid w:val="00965011"/>
    <w:rsid w:val="00995429"/>
    <w:rsid w:val="00996AC3"/>
    <w:rsid w:val="009B6E26"/>
    <w:rsid w:val="009C3224"/>
    <w:rsid w:val="009C4C31"/>
    <w:rsid w:val="009F0C82"/>
    <w:rsid w:val="009F5C3A"/>
    <w:rsid w:val="00A01094"/>
    <w:rsid w:val="00A11447"/>
    <w:rsid w:val="00A20D98"/>
    <w:rsid w:val="00A27625"/>
    <w:rsid w:val="00A44E8A"/>
    <w:rsid w:val="00A533CA"/>
    <w:rsid w:val="00A8112C"/>
    <w:rsid w:val="00AC1D37"/>
    <w:rsid w:val="00AC67EF"/>
    <w:rsid w:val="00AF7A8B"/>
    <w:rsid w:val="00B04741"/>
    <w:rsid w:val="00B311D0"/>
    <w:rsid w:val="00B64004"/>
    <w:rsid w:val="00B7785A"/>
    <w:rsid w:val="00B90DC2"/>
    <w:rsid w:val="00B971DE"/>
    <w:rsid w:val="00BA1B3F"/>
    <w:rsid w:val="00BC2767"/>
    <w:rsid w:val="00C102A3"/>
    <w:rsid w:val="00C1298E"/>
    <w:rsid w:val="00C26D9F"/>
    <w:rsid w:val="00C442AD"/>
    <w:rsid w:val="00CA3288"/>
    <w:rsid w:val="00CA3E3B"/>
    <w:rsid w:val="00D011DC"/>
    <w:rsid w:val="00D04097"/>
    <w:rsid w:val="00D24D09"/>
    <w:rsid w:val="00D72E1E"/>
    <w:rsid w:val="00D81354"/>
    <w:rsid w:val="00E00131"/>
    <w:rsid w:val="00E147A9"/>
    <w:rsid w:val="00E5012E"/>
    <w:rsid w:val="00E762FD"/>
    <w:rsid w:val="00E930C8"/>
    <w:rsid w:val="00EA412A"/>
    <w:rsid w:val="00EA6BA9"/>
    <w:rsid w:val="00F347F0"/>
    <w:rsid w:val="00F34AE9"/>
    <w:rsid w:val="00F357B0"/>
    <w:rsid w:val="00F43549"/>
    <w:rsid w:val="00F50B62"/>
    <w:rsid w:val="00F70F95"/>
    <w:rsid w:val="00F829DE"/>
    <w:rsid w:val="00F82AA6"/>
    <w:rsid w:val="00F855E3"/>
    <w:rsid w:val="00FC7C08"/>
    <w:rsid w:val="00FE15FA"/>
    <w:rsid w:val="069862AF"/>
    <w:rsid w:val="0C7718F8"/>
    <w:rsid w:val="2D070EC5"/>
    <w:rsid w:val="46BB5348"/>
    <w:rsid w:val="51936088"/>
    <w:rsid w:val="668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 w:line="278" w:lineRule="auto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style01"/>
    <w:basedOn w:val="7"/>
    <w:qFormat/>
    <w:uiPriority w:val="0"/>
    <w:rPr>
      <w:rFonts w:hint="default" w:ascii="MicrosoftYaHei" w:hAnsi="MicrosoftYaHei"/>
      <w:color w:val="000000"/>
      <w:sz w:val="22"/>
      <w:szCs w:val="22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tabs>
        <w:tab w:val="left" w:pos="1428"/>
      </w:tabs>
      <w:ind w:firstLine="420" w:firstLineChars="200"/>
      <w:jc w:val="left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434</Words>
  <Characters>486</Characters>
  <Lines>4</Lines>
  <Paragraphs>1</Paragraphs>
  <TotalTime>0</TotalTime>
  <ScaleCrop>false</ScaleCrop>
  <LinksUpToDate>false</LinksUpToDate>
  <CharactersWithSpaces>515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2024-07-15T01:36:00Z</dcterms:created>
  <dc:creator>China</dc:creator>
  <cp:lastModifiedBy>陈文佳</cp:lastModifiedBy>
  <dcterms:modified xsi:type="dcterms:W3CDTF">2026-08-28T08:26:22Z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eyJoZGlkIjoiMzc0OTQ1OWZiNDc3Y2MyZmZmZWIzYzRlODQ4NDE3OTYiLCJ1c2VySWQiOiIxNzc0OTA2Mjk1In0=</vt:lpwstr>
  </property>
  <property fmtid="{D5CDD505-2E9C-101B-9397-08002B2CF9AE}" pid="3" name="KSOProductBuildVer">
    <vt:lpwstr>2052-12.1.0.28043</vt:lpwstr>
  </property>
  <property fmtid="{D5CDD505-2E9C-101B-9397-08002B2CF9AE}" pid="4" name="ICV">
    <vt:lpwstr>20B1B4D6E71F47CB8E65CCEFBC87FC75_12</vt:lpwstr>
  </property>
</Properties>
</file>