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7F42D7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71ADF21F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50584A57"/>
    <w:tbl>
      <w:tblPr>
        <w:tblStyle w:val="3"/>
        <w:tblW w:w="9781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5"/>
        <w:gridCol w:w="1561"/>
        <w:gridCol w:w="5322"/>
        <w:gridCol w:w="1201"/>
        <w:gridCol w:w="992"/>
      </w:tblGrid>
      <w:tr w14:paraId="20C66D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6" w:hRule="atLeast"/>
        </w:trPr>
        <w:tc>
          <w:tcPr>
            <w:tcW w:w="705" w:type="dxa"/>
            <w:vAlign w:val="center"/>
          </w:tcPr>
          <w:p w14:paraId="3E29496F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561" w:type="dxa"/>
            <w:vAlign w:val="center"/>
          </w:tcPr>
          <w:p w14:paraId="467D4662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名称</w:t>
            </w:r>
          </w:p>
        </w:tc>
        <w:tc>
          <w:tcPr>
            <w:tcW w:w="5322" w:type="dxa"/>
            <w:vAlign w:val="center"/>
          </w:tcPr>
          <w:p w14:paraId="0B99A1E1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技术指标</w:t>
            </w:r>
          </w:p>
        </w:tc>
        <w:tc>
          <w:tcPr>
            <w:tcW w:w="1201" w:type="dxa"/>
            <w:vAlign w:val="center"/>
          </w:tcPr>
          <w:p w14:paraId="78A93726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偏离说明</w:t>
            </w:r>
          </w:p>
          <w:p w14:paraId="529022B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无偏离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正偏离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>负偏离</w:t>
            </w:r>
            <w:r>
              <w:rPr>
                <w:rFonts w:hint="eastAsia"/>
                <w:sz w:val="24"/>
                <w:szCs w:val="24"/>
              </w:rPr>
              <w:t>)</w:t>
            </w:r>
          </w:p>
        </w:tc>
        <w:tc>
          <w:tcPr>
            <w:tcW w:w="992" w:type="dxa"/>
            <w:vAlign w:val="center"/>
          </w:tcPr>
          <w:p w14:paraId="744AE6C5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偏离值</w:t>
            </w:r>
          </w:p>
        </w:tc>
      </w:tr>
      <w:tr w14:paraId="6C24D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705" w:type="dxa"/>
            <w:vAlign w:val="center"/>
          </w:tcPr>
          <w:p w14:paraId="6B5478EA">
            <w:pPr>
              <w:spacing w:line="240" w:lineRule="atLeast"/>
              <w:jc w:val="center"/>
              <w:rPr>
                <w:b w:val="0"/>
                <w:bCs w:val="0"/>
                <w:sz w:val="24"/>
                <w:szCs w:val="24"/>
              </w:rPr>
            </w:pPr>
            <w:r>
              <w:rPr>
                <w:rFonts w:hint="eastAsia"/>
                <w:b w:val="0"/>
                <w:bCs w:val="0"/>
                <w:sz w:val="24"/>
                <w:szCs w:val="24"/>
              </w:rPr>
              <w:t>1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678C3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激光器</w:t>
            </w:r>
          </w:p>
          <w:p w14:paraId="72D7432B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 w:val="0"/>
              <w:topLinePunct w:val="0"/>
              <w:autoSpaceDE/>
              <w:autoSpaceDN/>
              <w:bidi w:val="0"/>
              <w:adjustRightInd w:val="0"/>
              <w:snapToGrid w:val="0"/>
              <w:spacing w:line="264" w:lineRule="auto"/>
              <w:jc w:val="center"/>
              <w:textAlignment w:val="auto"/>
              <w:rPr>
                <w:rFonts w:hint="default" w:eastAsiaTheme="minorEastAsia"/>
                <w:b w:val="0"/>
                <w:bCs w:val="0"/>
                <w:sz w:val="24"/>
                <w:szCs w:val="24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t>信号源</w:t>
            </w:r>
            <w:r>
              <w:rPr>
                <w:rFonts w:hint="eastAsia" w:asciiTheme="minorEastAsia" w:hAnsiTheme="minorEastAsia" w:eastAsiaTheme="minorEastAsia"/>
                <w:b w:val="0"/>
                <w:bCs w:val="0"/>
                <w:sz w:val="24"/>
                <w:szCs w:val="24"/>
              </w:rPr>
              <w:br w:type="textWrapping"/>
            </w:r>
          </w:p>
        </w:tc>
        <w:tc>
          <w:tcPr>
            <w:tcW w:w="5322" w:type="dxa"/>
            <w:vAlign w:val="center"/>
          </w:tcPr>
          <w:p w14:paraId="12DAE6B5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一套激光器信号源，满足以下需求：</w:t>
            </w:r>
          </w:p>
          <w:p w14:paraId="0A358CA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中心波长：800±5nm</w:t>
            </w:r>
          </w:p>
          <w:p w14:paraId="3CD5C97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重复频率</w:t>
            </w: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  <w:lang w:eastAsia="zh-CN"/>
              </w:rPr>
              <w:t>：</w:t>
            </w: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79.33MHz</w:t>
            </w:r>
          </w:p>
          <w:p w14:paraId="25581A4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平均功率：≥300mW</w:t>
            </w:r>
          </w:p>
          <w:p w14:paraId="185FD7C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功率稳定性：≤0.25%rms（8h）</w:t>
            </w:r>
          </w:p>
          <w:p w14:paraId="65AE070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光谱形状：类高斯</w:t>
            </w:r>
          </w:p>
          <w:p w14:paraId="093F6A03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偏振态：水平线偏振，＞100：1</w:t>
            </w:r>
          </w:p>
          <w:p w14:paraId="2AE6134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发散角：&lt;1.5mrad</w:t>
            </w:r>
          </w:p>
          <w:p w14:paraId="30F938F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光束直径（1/e2）：1±0.3 mm</w:t>
            </w:r>
          </w:p>
          <w:p w14:paraId="3E14207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 w:val="0"/>
                <w:bCs w:val="0"/>
                <w:sz w:val="24"/>
                <w:szCs w:val="24"/>
                <w:shd w:val="clear" w:color="auto" w:fill="FFFFFF"/>
              </w:rPr>
              <w:t>具备锁相功能</w:t>
            </w:r>
          </w:p>
        </w:tc>
        <w:tc>
          <w:tcPr>
            <w:tcW w:w="1201" w:type="dxa"/>
            <w:vAlign w:val="center"/>
          </w:tcPr>
          <w:p w14:paraId="3494B2B7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4AB5E24F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  <w:tr w14:paraId="41B7F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7" w:hRule="atLeast"/>
        </w:trPr>
        <w:tc>
          <w:tcPr>
            <w:tcW w:w="705" w:type="dxa"/>
            <w:vAlign w:val="center"/>
          </w:tcPr>
          <w:p w14:paraId="1FB5921D">
            <w:pPr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56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E87ED25">
            <w:pPr>
              <w:widowControl/>
              <w:spacing w:line="240" w:lineRule="atLeas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商务条款</w:t>
            </w:r>
          </w:p>
        </w:tc>
        <w:tc>
          <w:tcPr>
            <w:tcW w:w="5322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826E3E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交货期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合同签订后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5个月内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。</w:t>
            </w:r>
          </w:p>
          <w:p w14:paraId="379C679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交付进度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ascii="宋体" w:hAnsi="宋体"/>
                <w:b w:val="0"/>
                <w:bCs/>
                <w:sz w:val="24"/>
                <w:szCs w:val="24"/>
              </w:rPr>
              <w:t>一次性交付。</w:t>
            </w:r>
          </w:p>
          <w:p w14:paraId="3E9DDDC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ascii="宋体" w:hAnsi="宋体"/>
                <w:b/>
                <w:bCs w:val="0"/>
                <w:sz w:val="24"/>
                <w:szCs w:val="24"/>
              </w:rPr>
              <w:t>付款方式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签订合同后支付合同总金额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0%作为预付款，交付安装验收后支付合同金额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0%</w:t>
            </w:r>
          </w:p>
          <w:p w14:paraId="177B6C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 w:eastAsiaTheme="minorEastAsia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验收指标及验收要求：</w:t>
            </w:r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出厂前提供全部技术参数</w:t>
            </w:r>
            <w:bookmarkStart w:id="0" w:name="_GoBack"/>
            <w:bookmarkEnd w:id="0"/>
            <w:r>
              <w:rPr>
                <w:rFonts w:hint="eastAsia" w:ascii="宋体" w:hAnsi="宋体"/>
                <w:b w:val="0"/>
                <w:bCs/>
                <w:sz w:val="24"/>
                <w:szCs w:val="24"/>
                <w:lang w:val="en-US" w:eastAsia="zh-CN"/>
              </w:rPr>
              <w:t>的测试结果，到达采购方现场后，供货方提供安装服务并协助采购方进行以下指标测试：</w:t>
            </w:r>
          </w:p>
          <w:p w14:paraId="15E1B590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中心波长：800±5nm</w:t>
            </w:r>
          </w:p>
          <w:p w14:paraId="794F16E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重复频率:79.33MHz</w:t>
            </w:r>
          </w:p>
          <w:p w14:paraId="3857746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平均功率：≥300mW</w:t>
            </w:r>
          </w:p>
          <w:p w14:paraId="22057F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功率稳定性：≤0.25%rms（8h）</w:t>
            </w:r>
          </w:p>
          <w:p w14:paraId="7748A93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光谱形状：类高斯</w:t>
            </w:r>
          </w:p>
          <w:p w14:paraId="50E9864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left="425" w:leftChars="0" w:hanging="425" w:firstLineChars="0"/>
              <w:jc w:val="left"/>
              <w:textAlignment w:val="auto"/>
              <w:rPr>
                <w:rFonts w:hint="eastAsia" w:ascii="宋体" w:hAnsi="宋体"/>
                <w:b w:val="0"/>
                <w:bCs/>
                <w:sz w:val="24"/>
                <w:szCs w:val="24"/>
              </w:rPr>
            </w:pPr>
            <w:r>
              <w:rPr>
                <w:rFonts w:hint="eastAsia" w:ascii="宋体" w:hAnsi="宋体"/>
                <w:b w:val="0"/>
                <w:bCs/>
                <w:sz w:val="24"/>
                <w:szCs w:val="24"/>
              </w:rPr>
              <w:t>具备锁相功能</w:t>
            </w:r>
          </w:p>
          <w:p w14:paraId="52B6A021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eastAsia" w:ascii="宋体" w:hAnsi="宋体"/>
                <w:b/>
                <w:bCs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保修</w:t>
            </w:r>
            <w:r>
              <w:rPr>
                <w:rFonts w:ascii="宋体" w:hAnsi="宋体"/>
                <w:b/>
                <w:bCs w:val="0"/>
                <w:sz w:val="24"/>
                <w:szCs w:val="24"/>
              </w:rPr>
              <w:t>及售后服务</w:t>
            </w:r>
            <w:r>
              <w:rPr>
                <w:rFonts w:hint="eastAsia" w:ascii="宋体" w:hAnsi="宋体"/>
                <w:b/>
                <w:bCs w:val="0"/>
                <w:sz w:val="24"/>
                <w:szCs w:val="24"/>
              </w:rPr>
              <w:t>：</w:t>
            </w:r>
          </w:p>
          <w:p w14:paraId="41C63C23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1. 提供1年免费保修，保修期自验收签字之日起计算。保修期满前1个月内卖方应负责一次免费全面检查，如发现潜在问题，应负责排除；</w:t>
            </w:r>
          </w:p>
          <w:p w14:paraId="72C77056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2. 质保期内，卖方接到买方故障信息后在6小时内予以响应，并在24小时内到达买方现场，排除故障，免费更换损坏零件和服务。</w:t>
            </w:r>
          </w:p>
          <w:p w14:paraId="42A8F27A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left"/>
              <w:textAlignment w:val="auto"/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 xml:space="preserve">3. 质保期外，卖方接到买方故障信息后在12小时内予以响应，并在72小时内到达买方现场，排除故障，更换损坏零件和服务。在设备保修期结束后，保证可以提供及时的售后维修服务，充足的备件供应. </w:t>
            </w:r>
          </w:p>
          <w:p w14:paraId="3779B03D">
            <w:pPr>
              <w:keepNext w:val="0"/>
              <w:keepLines w:val="0"/>
              <w:pageBreakBefore w:val="0"/>
              <w:widowControl w:val="0"/>
              <w:tabs>
                <w:tab w:val="left" w:pos="6915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300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4"/>
                <w:szCs w:val="24"/>
              </w:rPr>
            </w:pPr>
            <w:r>
              <w:rPr>
                <w:rFonts w:hint="default" w:ascii="宋体" w:hAnsi="宋体"/>
                <w:b w:val="0"/>
                <w:bCs/>
                <w:sz w:val="24"/>
                <w:szCs w:val="24"/>
                <w:lang w:val="en-US" w:eastAsia="zh-CN"/>
              </w:rPr>
              <w:t>4. 软件升级：卖方应终身免费向用户提供仪器软件的更新。</w:t>
            </w:r>
          </w:p>
        </w:tc>
        <w:tc>
          <w:tcPr>
            <w:tcW w:w="1201" w:type="dxa"/>
            <w:vAlign w:val="center"/>
          </w:tcPr>
          <w:p w14:paraId="5D3E4FB5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43744E8">
            <w:pPr>
              <w:spacing w:line="240" w:lineRule="atLeast"/>
              <w:jc w:val="center"/>
              <w:rPr>
                <w:sz w:val="24"/>
                <w:szCs w:val="24"/>
              </w:rPr>
            </w:pPr>
          </w:p>
        </w:tc>
      </w:tr>
    </w:tbl>
    <w:p w14:paraId="47969C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</w:p>
    <w:p w14:paraId="2A951803">
      <w:pPr>
        <w:wordWrap w:val="0"/>
        <w:ind w:right="840"/>
        <w:jc w:val="right"/>
        <w:rPr>
          <w:rFonts w:hint="eastAsia"/>
          <w:sz w:val="24"/>
          <w:szCs w:val="24"/>
          <w:lang w:val="en-US" w:eastAsia="zh-CN"/>
        </w:rPr>
      </w:pPr>
    </w:p>
    <w:p w14:paraId="00BC0982">
      <w:pPr>
        <w:wordWrap w:val="0"/>
        <w:ind w:right="840"/>
        <w:jc w:val="right"/>
        <w:rPr>
          <w:rFonts w:hint="default" w:eastAsiaTheme="minorEastAsia"/>
          <w:lang w:val="en-US" w:eastAsia="zh-CN"/>
        </w:rPr>
      </w:pPr>
      <w:r>
        <w:rPr>
          <w:rFonts w:hint="eastAsia"/>
          <w:sz w:val="24"/>
          <w:szCs w:val="24"/>
          <w:lang w:val="en-US" w:eastAsia="zh-CN"/>
        </w:rPr>
        <w:t xml:space="preserve"> </w:t>
      </w:r>
      <w:r>
        <w:rPr>
          <w:sz w:val="24"/>
          <w:szCs w:val="24"/>
        </w:rPr>
        <w:t>公司名称</w:t>
      </w:r>
      <w:r>
        <w:rPr>
          <w:rFonts w:hint="eastAsia"/>
          <w:sz w:val="24"/>
          <w:szCs w:val="24"/>
        </w:rPr>
        <w:t>（盖章）：</w:t>
      </w:r>
      <w:r>
        <w:rPr>
          <w:rFonts w:hint="eastAsia"/>
          <w:sz w:val="24"/>
          <w:szCs w:val="24"/>
        </w:rPr>
        <w:br w:type="textWrapping"/>
      </w:r>
      <w:r>
        <w:rPr>
          <w:sz w:val="24"/>
          <w:szCs w:val="24"/>
        </w:rPr>
        <w:t>日期</w:t>
      </w:r>
      <w:r>
        <w:rPr>
          <w:rFonts w:hint="eastAsia"/>
          <w:sz w:val="24"/>
          <w:szCs w:val="24"/>
        </w:rPr>
        <w:t>：</w:t>
      </w:r>
      <w:r>
        <w:rPr>
          <w:rFonts w:hint="eastAsia"/>
          <w:sz w:val="24"/>
          <w:szCs w:val="24"/>
          <w:lang w:val="en-US" w:eastAsia="zh-CN"/>
        </w:rPr>
        <w:t xml:space="preserve">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7320632"/>
    <w:multiLevelType w:val="singleLevel"/>
    <w:tmpl w:val="F7320632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abstractNum w:abstractNumId="1">
    <w:nsid w:val="05F4BAC3"/>
    <w:multiLevelType w:val="singleLevel"/>
    <w:tmpl w:val="05F4BAC3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EF6C24"/>
    <w:rsid w:val="04EF6C24"/>
    <w:rsid w:val="0FAA3CAE"/>
    <w:rsid w:val="114B475B"/>
    <w:rsid w:val="12E879B8"/>
    <w:rsid w:val="38C84348"/>
    <w:rsid w:val="424D68E3"/>
    <w:rsid w:val="60854C98"/>
    <w:rsid w:val="667E6061"/>
    <w:rsid w:val="6A7D0963"/>
    <w:rsid w:val="7DDE6C50"/>
    <w:rsid w:val="7EF22B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575</Words>
  <Characters>654</Characters>
  <Lines>0</Lines>
  <Paragraphs>0</Paragraphs>
  <TotalTime>0</TotalTime>
  <ScaleCrop>false</ScaleCrop>
  <LinksUpToDate>false</LinksUpToDate>
  <CharactersWithSpaces>666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2026-07-17T08:11:00Z</dcterms:created>
  <dc:creator>DELL</dc:creator>
  <cp:lastModifiedBy>王小宇</cp:lastModifiedBy>
  <dcterms:modified xsi:type="dcterms:W3CDTF">2026-10-08T10:07:51Z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B57D569382CA4B52B11FA05D5F765FAB_13</vt:lpwstr>
  </property>
  <property fmtid="{D5CDD505-2E9C-101B-9397-08002B2CF9AE}" pid="4" name="KSOTemplateDocerSaveRecord">
    <vt:lpwstr>eyJoZGlkIjoiN2RmNGQ2MDc0ZGFiNmIyNjNmMmJiNzcxMzg1OWQzY2YiLCJ1c2VySWQiOiIxNzkyMjQ5NTEzIn0=</vt:lpwstr>
  </property>
</Properties>
</file>