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C9955E">
      <w:pPr>
        <w:jc w:val="center"/>
        <w:rPr>
          <w:sz w:val="36"/>
        </w:rPr>
      </w:pPr>
      <w:r>
        <w:rPr>
          <w:sz w:val="36"/>
        </w:rPr>
        <w:t>中国科学技术大学国家同步辐射实验室</w:t>
      </w:r>
    </w:p>
    <w:p w14:paraId="0973E65B">
      <w:pPr>
        <w:jc w:val="center"/>
        <w:rPr>
          <w:sz w:val="36"/>
        </w:rPr>
      </w:pPr>
      <w:bookmarkStart w:id="3" w:name="_GoBack"/>
      <w:r>
        <w:rPr>
          <w:rFonts w:hint="eastAsia"/>
          <w:sz w:val="36"/>
        </w:rPr>
        <w:t>技术指标供应商确认表</w:t>
      </w:r>
    </w:p>
    <w:bookmarkEnd w:id="3"/>
    <w:p w14:paraId="3E58F52B"/>
    <w:tbl>
      <w:tblPr>
        <w:tblStyle w:val="3"/>
        <w:tblW w:w="9781"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4"/>
        <w:gridCol w:w="1400"/>
        <w:gridCol w:w="5500"/>
        <w:gridCol w:w="1175"/>
        <w:gridCol w:w="892"/>
      </w:tblGrid>
      <w:tr w14:paraId="3979F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814" w:type="dxa"/>
            <w:vAlign w:val="center"/>
          </w:tcPr>
          <w:p w14:paraId="75C250BA">
            <w:pPr>
              <w:spacing w:line="240" w:lineRule="atLeast"/>
              <w:jc w:val="center"/>
              <w:rPr>
                <w:rFonts w:hint="eastAsia" w:ascii="宋体" w:hAnsi="宋体" w:eastAsia="宋体" w:cs="宋体"/>
                <w:sz w:val="22"/>
                <w:szCs w:val="22"/>
              </w:rPr>
            </w:pPr>
            <w:r>
              <w:rPr>
                <w:rFonts w:hint="eastAsia" w:ascii="宋体" w:hAnsi="宋体" w:eastAsia="宋体" w:cs="宋体"/>
                <w:sz w:val="22"/>
                <w:szCs w:val="22"/>
              </w:rPr>
              <w:t>序号</w:t>
            </w:r>
          </w:p>
        </w:tc>
        <w:tc>
          <w:tcPr>
            <w:tcW w:w="1400" w:type="dxa"/>
            <w:vAlign w:val="center"/>
          </w:tcPr>
          <w:p w14:paraId="3A9FF52B">
            <w:pPr>
              <w:spacing w:line="240" w:lineRule="atLeast"/>
              <w:jc w:val="center"/>
              <w:rPr>
                <w:rFonts w:hint="eastAsia" w:ascii="宋体" w:hAnsi="宋体" w:eastAsia="宋体" w:cs="宋体"/>
                <w:sz w:val="22"/>
                <w:szCs w:val="22"/>
              </w:rPr>
            </w:pPr>
            <w:r>
              <w:rPr>
                <w:rFonts w:hint="eastAsia" w:ascii="宋体" w:hAnsi="宋体" w:eastAsia="宋体" w:cs="宋体"/>
                <w:sz w:val="22"/>
                <w:szCs w:val="22"/>
              </w:rPr>
              <w:t>名称</w:t>
            </w:r>
          </w:p>
        </w:tc>
        <w:tc>
          <w:tcPr>
            <w:tcW w:w="5500" w:type="dxa"/>
            <w:vAlign w:val="center"/>
          </w:tcPr>
          <w:p w14:paraId="258D475E">
            <w:pPr>
              <w:spacing w:line="240" w:lineRule="atLeast"/>
              <w:jc w:val="center"/>
              <w:rPr>
                <w:rFonts w:hint="eastAsia" w:ascii="宋体" w:hAnsi="宋体" w:eastAsia="宋体" w:cs="宋体"/>
                <w:sz w:val="22"/>
                <w:szCs w:val="22"/>
              </w:rPr>
            </w:pPr>
            <w:r>
              <w:rPr>
                <w:rFonts w:hint="eastAsia" w:ascii="宋体" w:hAnsi="宋体" w:eastAsia="宋体" w:cs="宋体"/>
                <w:sz w:val="22"/>
                <w:szCs w:val="22"/>
              </w:rPr>
              <w:t>技术指标</w:t>
            </w:r>
          </w:p>
        </w:tc>
        <w:tc>
          <w:tcPr>
            <w:tcW w:w="1175" w:type="dxa"/>
            <w:vAlign w:val="center"/>
          </w:tcPr>
          <w:p w14:paraId="37F7A556">
            <w:pPr>
              <w:spacing w:line="240" w:lineRule="atLeast"/>
              <w:jc w:val="center"/>
              <w:rPr>
                <w:rFonts w:hint="eastAsia" w:ascii="宋体" w:hAnsi="宋体" w:eastAsia="宋体" w:cs="宋体"/>
                <w:sz w:val="22"/>
                <w:szCs w:val="22"/>
              </w:rPr>
            </w:pPr>
            <w:r>
              <w:rPr>
                <w:rFonts w:hint="eastAsia" w:ascii="宋体" w:hAnsi="宋体" w:eastAsia="宋体" w:cs="宋体"/>
                <w:sz w:val="22"/>
                <w:szCs w:val="22"/>
              </w:rPr>
              <w:t>偏离说明</w:t>
            </w:r>
          </w:p>
          <w:p w14:paraId="328E92F5">
            <w:pPr>
              <w:spacing w:line="240" w:lineRule="atLeast"/>
              <w:jc w:val="center"/>
              <w:rPr>
                <w:rFonts w:hint="eastAsia" w:ascii="宋体" w:hAnsi="宋体" w:eastAsia="宋体" w:cs="宋体"/>
                <w:sz w:val="22"/>
                <w:szCs w:val="22"/>
              </w:rPr>
            </w:pPr>
            <w:r>
              <w:rPr>
                <w:rFonts w:hint="eastAsia" w:ascii="宋体" w:hAnsi="宋体" w:eastAsia="宋体" w:cs="宋体"/>
                <w:sz w:val="22"/>
                <w:szCs w:val="22"/>
              </w:rPr>
              <w:t>(无偏离/正偏离/负偏离)</w:t>
            </w:r>
          </w:p>
        </w:tc>
        <w:tc>
          <w:tcPr>
            <w:tcW w:w="892" w:type="dxa"/>
            <w:vAlign w:val="center"/>
          </w:tcPr>
          <w:p w14:paraId="22A89C1E">
            <w:pPr>
              <w:spacing w:line="240" w:lineRule="atLeast"/>
              <w:jc w:val="center"/>
              <w:rPr>
                <w:rFonts w:hint="eastAsia" w:ascii="宋体" w:hAnsi="宋体" w:eastAsia="宋体" w:cs="宋体"/>
                <w:sz w:val="22"/>
                <w:szCs w:val="22"/>
              </w:rPr>
            </w:pPr>
            <w:r>
              <w:rPr>
                <w:rFonts w:hint="eastAsia" w:ascii="宋体" w:hAnsi="宋体" w:eastAsia="宋体" w:cs="宋体"/>
                <w:sz w:val="22"/>
                <w:szCs w:val="22"/>
              </w:rPr>
              <w:t>偏离值</w:t>
            </w:r>
          </w:p>
        </w:tc>
      </w:tr>
      <w:tr w14:paraId="39438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814" w:type="dxa"/>
            <w:vAlign w:val="center"/>
          </w:tcPr>
          <w:p w14:paraId="185CA09D">
            <w:pPr>
              <w:spacing w:line="240" w:lineRule="atLeast"/>
              <w:jc w:val="center"/>
              <w:rPr>
                <w:rFonts w:hint="eastAsia" w:ascii="宋体" w:hAnsi="宋体" w:eastAsia="宋体" w:cs="宋体"/>
              </w:rPr>
            </w:pPr>
            <w:r>
              <w:rPr>
                <w:rFonts w:hint="eastAsia" w:ascii="宋体" w:hAnsi="宋体" w:eastAsia="宋体" w:cs="宋体"/>
              </w:rPr>
              <w:t>1</w:t>
            </w:r>
          </w:p>
        </w:tc>
        <w:tc>
          <w:tcPr>
            <w:tcW w:w="1400" w:type="dxa"/>
            <w:tcBorders>
              <w:bottom w:val="single" w:color="auto" w:sz="4" w:space="0"/>
            </w:tcBorders>
            <w:shd w:val="clear" w:color="auto" w:fill="auto"/>
            <w:vAlign w:val="center"/>
          </w:tcPr>
          <w:p w14:paraId="77F7BD92">
            <w:pPr>
              <w:widowControl/>
              <w:spacing w:line="240" w:lineRule="atLeast"/>
              <w:jc w:val="center"/>
              <w:rPr>
                <w:rFonts w:hint="eastAsia" w:ascii="宋体" w:hAnsi="宋体" w:eastAsia="宋体" w:cs="宋体"/>
                <w:sz w:val="21"/>
                <w:szCs w:val="21"/>
                <w:lang w:val="en-US" w:eastAsia="zh-CN"/>
              </w:rPr>
            </w:pPr>
            <w:r>
              <w:rPr>
                <w:bCs/>
                <w:sz w:val="21"/>
                <w:szCs w:val="21"/>
              </w:rPr>
              <w:t>光束线步进电机运动控制系统</w:t>
            </w:r>
          </w:p>
        </w:tc>
        <w:tc>
          <w:tcPr>
            <w:tcW w:w="5500" w:type="dxa"/>
            <w:tcBorders>
              <w:bottom w:val="single" w:color="auto" w:sz="4" w:space="0"/>
            </w:tcBorders>
            <w:shd w:val="clear" w:color="auto" w:fill="auto"/>
            <w:vAlign w:val="center"/>
          </w:tcPr>
          <w:p w14:paraId="2CE466A1">
            <w:pPr>
              <w:spacing w:line="240" w:lineRule="auto"/>
              <w:jc w:val="left"/>
              <w:rPr>
                <w:rFonts w:hint="eastAsia" w:eastAsiaTheme="minorEastAsia"/>
                <w:bCs/>
                <w:sz w:val="21"/>
                <w:szCs w:val="21"/>
                <w:lang w:eastAsia="zh-CN"/>
              </w:rPr>
            </w:pPr>
            <w:r>
              <w:rPr>
                <w:bCs/>
                <w:sz w:val="21"/>
                <w:szCs w:val="21"/>
              </w:rPr>
              <w:t>光束线步进电机运动控制系统用于线站步进电机控制，具备光栅尺位置采集，限位联锁、抱闸以及位置捕获输出等功能，</w:t>
            </w:r>
            <w:r>
              <w:rPr>
                <w:rFonts w:hint="eastAsia"/>
                <w:bCs/>
                <w:sz w:val="21"/>
                <w:szCs w:val="21"/>
                <w:lang w:val="en-US" w:eastAsia="zh-CN"/>
              </w:rPr>
              <w:t>拟采购</w:t>
            </w:r>
            <w:r>
              <w:rPr>
                <w:bCs/>
                <w:sz w:val="21"/>
                <w:szCs w:val="21"/>
              </w:rPr>
              <w:t>设备需求清单如下</w:t>
            </w:r>
            <w:r>
              <w:rPr>
                <w:rFonts w:hint="eastAsia"/>
                <w:bCs/>
                <w:sz w:val="21"/>
                <w:szCs w:val="21"/>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43"/>
              <w:gridCol w:w="1867"/>
            </w:tblGrid>
            <w:tr w14:paraId="3215C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43" w:type="dxa"/>
                  <w:vAlign w:val="top"/>
                </w:tcPr>
                <w:p w14:paraId="5141F824">
                  <w:pPr>
                    <w:spacing w:line="240" w:lineRule="auto"/>
                    <w:jc w:val="center"/>
                    <w:rPr>
                      <w:b/>
                      <w:bCs w:val="0"/>
                      <w:sz w:val="21"/>
                      <w:szCs w:val="21"/>
                    </w:rPr>
                  </w:pPr>
                  <w:r>
                    <w:rPr>
                      <w:b/>
                      <w:bCs w:val="0"/>
                      <w:sz w:val="21"/>
                      <w:szCs w:val="21"/>
                    </w:rPr>
                    <w:t>设备清单</w:t>
                  </w:r>
                </w:p>
              </w:tc>
              <w:tc>
                <w:tcPr>
                  <w:tcW w:w="1867" w:type="dxa"/>
                  <w:vAlign w:val="top"/>
                </w:tcPr>
                <w:p w14:paraId="6AD96C1F">
                  <w:pPr>
                    <w:spacing w:line="240" w:lineRule="auto"/>
                    <w:jc w:val="center"/>
                    <w:rPr>
                      <w:b/>
                      <w:bCs w:val="0"/>
                      <w:sz w:val="21"/>
                      <w:szCs w:val="21"/>
                    </w:rPr>
                  </w:pPr>
                  <w:r>
                    <w:rPr>
                      <w:b/>
                      <w:bCs w:val="0"/>
                      <w:sz w:val="21"/>
                      <w:szCs w:val="21"/>
                    </w:rPr>
                    <w:t>数量</w:t>
                  </w:r>
                </w:p>
              </w:tc>
            </w:tr>
            <w:tr w14:paraId="6AB15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43" w:type="dxa"/>
                  <w:vAlign w:val="top"/>
                </w:tcPr>
                <w:p w14:paraId="07D15986">
                  <w:pPr>
                    <w:spacing w:line="240" w:lineRule="auto"/>
                    <w:jc w:val="center"/>
                    <w:rPr>
                      <w:bCs/>
                      <w:sz w:val="21"/>
                      <w:szCs w:val="21"/>
                    </w:rPr>
                  </w:pPr>
                  <w:r>
                    <w:rPr>
                      <w:bCs/>
                      <w:sz w:val="21"/>
                      <w:szCs w:val="21"/>
                    </w:rPr>
                    <w:t>驱动机箱</w:t>
                  </w:r>
                </w:p>
              </w:tc>
              <w:tc>
                <w:tcPr>
                  <w:tcW w:w="1867" w:type="dxa"/>
                  <w:vAlign w:val="top"/>
                </w:tcPr>
                <w:p w14:paraId="05640F73">
                  <w:pPr>
                    <w:spacing w:line="240" w:lineRule="auto"/>
                    <w:jc w:val="center"/>
                    <w:rPr>
                      <w:bCs/>
                      <w:sz w:val="21"/>
                      <w:szCs w:val="21"/>
                    </w:rPr>
                  </w:pPr>
                  <w:r>
                    <w:rPr>
                      <w:bCs/>
                      <w:sz w:val="21"/>
                      <w:szCs w:val="21"/>
                    </w:rPr>
                    <w:t>9套</w:t>
                  </w:r>
                </w:p>
              </w:tc>
            </w:tr>
            <w:tr w14:paraId="0AD13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43" w:type="dxa"/>
                  <w:vAlign w:val="top"/>
                </w:tcPr>
                <w:p w14:paraId="2F78474A">
                  <w:pPr>
                    <w:spacing w:line="240" w:lineRule="auto"/>
                    <w:jc w:val="center"/>
                    <w:rPr>
                      <w:bCs/>
                      <w:sz w:val="21"/>
                      <w:szCs w:val="21"/>
                    </w:rPr>
                  </w:pPr>
                  <w:r>
                    <w:rPr>
                      <w:bCs/>
                      <w:sz w:val="21"/>
                      <w:szCs w:val="21"/>
                    </w:rPr>
                    <w:t>运动控制模块</w:t>
                  </w:r>
                </w:p>
              </w:tc>
              <w:tc>
                <w:tcPr>
                  <w:tcW w:w="1867" w:type="dxa"/>
                  <w:vAlign w:val="top"/>
                </w:tcPr>
                <w:p w14:paraId="3453B847">
                  <w:pPr>
                    <w:spacing w:line="240" w:lineRule="auto"/>
                    <w:jc w:val="center"/>
                    <w:rPr>
                      <w:bCs/>
                      <w:sz w:val="21"/>
                      <w:szCs w:val="21"/>
                    </w:rPr>
                  </w:pPr>
                  <w:r>
                    <w:rPr>
                      <w:bCs/>
                      <w:sz w:val="21"/>
                      <w:szCs w:val="21"/>
                    </w:rPr>
                    <w:t>9套</w:t>
                  </w:r>
                </w:p>
              </w:tc>
            </w:tr>
            <w:tr w14:paraId="03F14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43" w:type="dxa"/>
                  <w:vAlign w:val="top"/>
                </w:tcPr>
                <w:p w14:paraId="188A7F29">
                  <w:pPr>
                    <w:spacing w:line="240" w:lineRule="auto"/>
                    <w:jc w:val="center"/>
                    <w:rPr>
                      <w:bCs/>
                      <w:sz w:val="21"/>
                      <w:szCs w:val="21"/>
                    </w:rPr>
                  </w:pPr>
                  <w:r>
                    <w:rPr>
                      <w:bCs/>
                      <w:sz w:val="21"/>
                      <w:szCs w:val="21"/>
                    </w:rPr>
                    <w:t>2相驱动板卡</w:t>
                  </w:r>
                </w:p>
              </w:tc>
              <w:tc>
                <w:tcPr>
                  <w:tcW w:w="1867" w:type="dxa"/>
                  <w:vAlign w:val="top"/>
                </w:tcPr>
                <w:p w14:paraId="143D04E4">
                  <w:pPr>
                    <w:spacing w:line="240" w:lineRule="auto"/>
                    <w:jc w:val="center"/>
                    <w:rPr>
                      <w:bCs/>
                      <w:sz w:val="21"/>
                      <w:szCs w:val="21"/>
                    </w:rPr>
                  </w:pPr>
                  <w:r>
                    <w:rPr>
                      <w:bCs/>
                      <w:sz w:val="21"/>
                      <w:szCs w:val="21"/>
                    </w:rPr>
                    <w:t>60只</w:t>
                  </w:r>
                </w:p>
              </w:tc>
            </w:tr>
            <w:tr w14:paraId="7C6B9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43" w:type="dxa"/>
                  <w:vAlign w:val="top"/>
                </w:tcPr>
                <w:p w14:paraId="5B1A9594">
                  <w:pPr>
                    <w:spacing w:line="240" w:lineRule="auto"/>
                    <w:jc w:val="center"/>
                    <w:rPr>
                      <w:bCs/>
                      <w:sz w:val="21"/>
                      <w:szCs w:val="21"/>
                    </w:rPr>
                  </w:pPr>
                  <w:r>
                    <w:rPr>
                      <w:bCs/>
                      <w:sz w:val="21"/>
                      <w:szCs w:val="21"/>
                    </w:rPr>
                    <w:t>5相驱动板卡</w:t>
                  </w:r>
                </w:p>
              </w:tc>
              <w:tc>
                <w:tcPr>
                  <w:tcW w:w="1867" w:type="dxa"/>
                  <w:vAlign w:val="top"/>
                </w:tcPr>
                <w:p w14:paraId="25E92635">
                  <w:pPr>
                    <w:spacing w:line="240" w:lineRule="auto"/>
                    <w:jc w:val="center"/>
                    <w:rPr>
                      <w:bCs/>
                      <w:sz w:val="21"/>
                      <w:szCs w:val="21"/>
                    </w:rPr>
                  </w:pPr>
                  <w:r>
                    <w:rPr>
                      <w:bCs/>
                      <w:sz w:val="21"/>
                      <w:szCs w:val="21"/>
                    </w:rPr>
                    <w:t>20只</w:t>
                  </w:r>
                </w:p>
              </w:tc>
            </w:tr>
          </w:tbl>
          <w:p w14:paraId="46B7A112">
            <w:pPr>
              <w:spacing w:line="240" w:lineRule="auto"/>
              <w:jc w:val="left"/>
              <w:rPr>
                <w:b/>
                <w:bCs w:val="0"/>
                <w:sz w:val="21"/>
                <w:szCs w:val="21"/>
              </w:rPr>
            </w:pPr>
            <w:r>
              <w:rPr>
                <w:b/>
                <w:bCs w:val="0"/>
                <w:sz w:val="21"/>
                <w:szCs w:val="21"/>
              </w:rPr>
              <w:t>具体参数指标要求如下：</w:t>
            </w:r>
          </w:p>
          <w:p w14:paraId="0DAB1838">
            <w:pPr>
              <w:pStyle w:val="5"/>
              <w:numPr>
                <w:ilvl w:val="0"/>
                <w:numId w:val="1"/>
              </w:numPr>
              <w:spacing w:line="240" w:lineRule="auto"/>
              <w:ind w:firstLineChars="0"/>
              <w:jc w:val="left"/>
              <w:rPr>
                <w:bCs/>
                <w:sz w:val="21"/>
                <w:szCs w:val="21"/>
              </w:rPr>
            </w:pPr>
            <w:r>
              <w:rPr>
                <w:bCs/>
                <w:sz w:val="21"/>
                <w:szCs w:val="21"/>
              </w:rPr>
              <w:t>总体设计：光束线步进电机运动控制系统是光束线控制系统的关键设备，光束线控制系统整体采用基于EPICS的分布式控制架构实现。光束线步进电机运动控制系统包含运动控制模块和驱动机箱两部分，基于EtherCAT总线实现控制和驱动板卡之间的扩展连接。</w:t>
            </w:r>
          </w:p>
          <w:p w14:paraId="77CCC64D">
            <w:pPr>
              <w:pStyle w:val="5"/>
              <w:numPr>
                <w:ilvl w:val="0"/>
                <w:numId w:val="1"/>
              </w:numPr>
              <w:spacing w:line="240" w:lineRule="auto"/>
              <w:ind w:firstLineChars="0"/>
              <w:jc w:val="left"/>
              <w:rPr>
                <w:bCs/>
                <w:sz w:val="21"/>
                <w:szCs w:val="21"/>
              </w:rPr>
            </w:pPr>
            <w:r>
              <w:rPr>
                <w:bCs/>
                <w:sz w:val="21"/>
                <w:szCs w:val="21"/>
              </w:rPr>
              <w:t>运动控制模块：支持安装Linux操作系统，运行EPICS IOC，接收OPI控制指令，完成运动控制算法控制驱动板卡执行运动功能。控制器工作电压 24V；</w:t>
            </w:r>
            <w:bookmarkStart w:id="0" w:name="OLE_LINK6"/>
            <w:bookmarkStart w:id="1" w:name="OLE_LINK5"/>
            <w:r>
              <w:rPr>
                <w:bCs/>
                <w:sz w:val="21"/>
                <w:szCs w:val="21"/>
              </w:rPr>
              <w:t xml:space="preserve">CPU主频≥1.4 GHz；运行内存≥8 GB；存储≥128 GB；以太网口≥4；USB口≥2；HDMI口≥1；RS232/RS485/RS422口≥1； </w:t>
            </w:r>
            <w:bookmarkEnd w:id="0"/>
            <w:bookmarkEnd w:id="1"/>
          </w:p>
          <w:p w14:paraId="05E06D64">
            <w:pPr>
              <w:pStyle w:val="5"/>
              <w:numPr>
                <w:ilvl w:val="0"/>
                <w:numId w:val="1"/>
              </w:numPr>
              <w:spacing w:line="240" w:lineRule="auto"/>
              <w:ind w:firstLineChars="0"/>
              <w:jc w:val="left"/>
              <w:rPr>
                <w:bCs/>
                <w:sz w:val="21"/>
                <w:szCs w:val="21"/>
              </w:rPr>
            </w:pPr>
            <w:r>
              <w:rPr>
                <w:bCs/>
                <w:sz w:val="21"/>
                <w:szCs w:val="21"/>
              </w:rPr>
              <w:t>驱动机箱：驱动机箱内集成安装驱动板卡、电源以及EtherCAT子站。整体结构如下图：</w:t>
            </w:r>
          </w:p>
          <w:p w14:paraId="0DD13AB9">
            <w:pPr>
              <w:spacing w:line="240" w:lineRule="auto"/>
              <w:ind w:left="709"/>
              <w:jc w:val="center"/>
              <w:rPr>
                <w:bCs/>
                <w:sz w:val="21"/>
                <w:szCs w:val="21"/>
              </w:rPr>
            </w:pPr>
            <w:r>
              <w:rPr>
                <w:bCs/>
                <w:sz w:val="21"/>
                <w:szCs w:val="21"/>
              </w:rPr>
              <w:pict>
                <v:shape id="_x0000_s1026" o:spid="_x0000_s1026" o:spt="75" alt="" type="#_x0000_t75" style="position:absolute;left:0pt;margin-left:20.15pt;margin-top:9.15pt;height:81.5pt;width:239.45pt;mso-wrap-distance-bottom:0pt;mso-wrap-distance-top:0pt;z-index:251659264;mso-width-relative:page;mso-height-relative:page;" o:ole="t" filled="f" o:preferrelative="t" stroked="f" coordsize="21600,21600">
                  <v:path/>
                  <v:fill on="f" focussize="0,0"/>
                  <v:stroke on="f"/>
                  <v:imagedata r:id="rId5" o:title=""/>
                  <o:lock v:ext="edit" aspectratio="t"/>
                  <w10:wrap type="topAndBottom"/>
                </v:shape>
                <o:OLEObject Type="Embed" ProgID="Visio.Drawing.15" ShapeID="_x0000_s1026" DrawAspect="Content" ObjectID="_1468075725" r:id="rId4">
                  <o:LockedField>false</o:LockedField>
                </o:OLEObject>
              </w:pict>
            </w:r>
          </w:p>
          <w:p w14:paraId="2EC670D3">
            <w:pPr>
              <w:spacing w:line="240" w:lineRule="auto"/>
              <w:jc w:val="center"/>
              <w:rPr>
                <w:bCs/>
                <w:sz w:val="21"/>
                <w:szCs w:val="21"/>
              </w:rPr>
            </w:pPr>
            <w:r>
              <w:rPr>
                <w:bCs/>
                <w:sz w:val="21"/>
                <w:szCs w:val="21"/>
              </w:rPr>
              <w:t>机箱整体结构</w:t>
            </w:r>
          </w:p>
          <w:p w14:paraId="59E3B181">
            <w:pPr>
              <w:spacing w:line="240" w:lineRule="auto"/>
              <w:jc w:val="center"/>
              <w:rPr>
                <w:bCs/>
                <w:sz w:val="21"/>
                <w:szCs w:val="21"/>
              </w:rPr>
            </w:pPr>
            <w:r>
              <w:rPr>
                <w:sz w:val="21"/>
                <w:szCs w:val="21"/>
              </w:rPr>
              <w:drawing>
                <wp:anchor distT="0" distB="0" distL="0" distR="0" simplePos="0" relativeHeight="251660288" behindDoc="0" locked="0" layoutInCell="1" allowOverlap="1">
                  <wp:simplePos x="0" y="0"/>
                  <wp:positionH relativeFrom="column">
                    <wp:posOffset>83820</wp:posOffset>
                  </wp:positionH>
                  <wp:positionV relativeFrom="page">
                    <wp:posOffset>102870</wp:posOffset>
                  </wp:positionV>
                  <wp:extent cx="3227070" cy="1152525"/>
                  <wp:effectExtent l="9525" t="9525" r="20955" b="1905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3227070" cy="1152525"/>
                          </a:xfrm>
                          <a:prstGeom prst="rect">
                            <a:avLst/>
                          </a:prstGeom>
                          <a:ln>
                            <a:solidFill>
                              <a:schemeClr val="tx1"/>
                            </a:solidFill>
                          </a:ln>
                        </pic:spPr>
                      </pic:pic>
                    </a:graphicData>
                  </a:graphic>
                </wp:anchor>
              </w:drawing>
            </w:r>
            <w:r>
              <w:rPr>
                <w:bCs/>
                <w:sz w:val="21"/>
                <w:szCs w:val="21"/>
              </w:rPr>
              <w:t>机箱后面板参考布局</w:t>
            </w:r>
          </w:p>
          <w:p w14:paraId="261AFE4F">
            <w:pPr>
              <w:spacing w:line="240" w:lineRule="auto"/>
              <w:jc w:val="center"/>
              <w:rPr>
                <w:bCs/>
                <w:sz w:val="21"/>
                <w:szCs w:val="21"/>
              </w:rPr>
            </w:pPr>
          </w:p>
          <w:p w14:paraId="0F1D7782">
            <w:pPr>
              <w:pStyle w:val="5"/>
              <w:numPr>
                <w:ilvl w:val="0"/>
                <w:numId w:val="2"/>
              </w:numPr>
              <w:spacing w:line="240" w:lineRule="auto"/>
              <w:ind w:left="709" w:leftChars="0" w:firstLineChars="0"/>
              <w:jc w:val="both"/>
              <w:rPr>
                <w:bCs/>
                <w:sz w:val="21"/>
                <w:szCs w:val="21"/>
              </w:rPr>
            </w:pPr>
            <w:r>
              <w:rPr>
                <w:bCs/>
                <w:sz w:val="21"/>
                <w:szCs w:val="21"/>
              </w:rPr>
              <w:t>铝合金材质壳体，机箱尺寸：19英寸，高度不超过4.5 U，深度不超过500 mm；</w:t>
            </w:r>
          </w:p>
          <w:p w14:paraId="787E814D">
            <w:pPr>
              <w:numPr>
                <w:ilvl w:val="0"/>
                <w:numId w:val="2"/>
              </w:numPr>
              <w:spacing w:line="240" w:lineRule="auto"/>
              <w:ind w:left="709" w:leftChars="0"/>
              <w:jc w:val="both"/>
              <w:rPr>
                <w:bCs/>
                <w:sz w:val="21"/>
                <w:szCs w:val="21"/>
              </w:rPr>
            </w:pPr>
            <w:r>
              <w:rPr>
                <w:bCs/>
                <w:sz w:val="21"/>
                <w:szCs w:val="21"/>
              </w:rPr>
              <w:t>供电电压</w:t>
            </w:r>
            <w:r>
              <w:rPr>
                <w:sz w:val="21"/>
                <w:szCs w:val="21"/>
              </w:rPr>
              <w:t>AC 220V±10%/10 A</w:t>
            </w:r>
            <w:r>
              <w:rPr>
                <w:bCs/>
                <w:sz w:val="21"/>
                <w:szCs w:val="21"/>
              </w:rPr>
              <w:t>、总功率不小于1000 W开机故障率低于1%，功率因数大于0.9%，效率不小于87%，纹波与噪声应小于 200mV；驱动板卡、子站、抱闸供电独立；</w:t>
            </w:r>
          </w:p>
          <w:p w14:paraId="28336754">
            <w:pPr>
              <w:pStyle w:val="5"/>
              <w:numPr>
                <w:ilvl w:val="0"/>
                <w:numId w:val="2"/>
              </w:numPr>
              <w:spacing w:line="240" w:lineRule="auto"/>
              <w:ind w:left="709" w:leftChars="0" w:firstLineChars="0"/>
              <w:jc w:val="both"/>
              <w:rPr>
                <w:bCs/>
                <w:sz w:val="21"/>
                <w:szCs w:val="21"/>
              </w:rPr>
            </w:pPr>
            <w:r>
              <w:rPr>
                <w:bCs/>
                <w:sz w:val="21"/>
                <w:szCs w:val="21"/>
              </w:rPr>
              <w:t>采用风冷散热，风扇易更换和清理，机箱侧边和顶底部均开有散热孔，利于内部散热；</w:t>
            </w:r>
          </w:p>
          <w:p w14:paraId="570FBAD6">
            <w:pPr>
              <w:pStyle w:val="5"/>
              <w:numPr>
                <w:ilvl w:val="0"/>
                <w:numId w:val="2"/>
              </w:numPr>
              <w:spacing w:line="240" w:lineRule="auto"/>
              <w:ind w:left="709" w:leftChars="0" w:firstLineChars="0"/>
              <w:jc w:val="both"/>
              <w:rPr>
                <w:bCs/>
                <w:sz w:val="21"/>
                <w:szCs w:val="21"/>
              </w:rPr>
            </w:pPr>
            <w:r>
              <w:rPr>
                <w:bCs/>
                <w:sz w:val="21"/>
                <w:szCs w:val="21"/>
              </w:rPr>
              <w:t>单机箱支持8轴2相或5相驱动板卡插卡式混合安装；单机箱支持8路外部正交编码器信号输入；单机箱支持8路抱闸输出，每路抱闸电流不小于500mA；</w:t>
            </w:r>
          </w:p>
          <w:p w14:paraId="117F7BDC">
            <w:pPr>
              <w:pStyle w:val="5"/>
              <w:numPr>
                <w:ilvl w:val="0"/>
                <w:numId w:val="2"/>
              </w:numPr>
              <w:spacing w:line="240" w:lineRule="auto"/>
              <w:ind w:left="709" w:leftChars="0" w:firstLineChars="0"/>
              <w:jc w:val="both"/>
              <w:rPr>
                <w:bCs/>
                <w:sz w:val="21"/>
                <w:szCs w:val="21"/>
              </w:rPr>
            </w:pPr>
            <w:r>
              <w:rPr>
                <w:bCs/>
                <w:sz w:val="21"/>
                <w:szCs w:val="21"/>
              </w:rPr>
              <w:t>单机箱支持8路机械触点式、光电式开关，用于限位和零位开关信号采集，支持共阴和共阳方式接入；</w:t>
            </w:r>
          </w:p>
          <w:p w14:paraId="62BF71C6">
            <w:pPr>
              <w:pStyle w:val="5"/>
              <w:numPr>
                <w:ilvl w:val="0"/>
                <w:numId w:val="2"/>
              </w:numPr>
              <w:spacing w:line="240" w:lineRule="auto"/>
              <w:ind w:left="709" w:leftChars="0" w:firstLineChars="0"/>
              <w:jc w:val="both"/>
              <w:rPr>
                <w:bCs/>
                <w:sz w:val="21"/>
                <w:szCs w:val="21"/>
              </w:rPr>
            </w:pPr>
            <w:r>
              <w:rPr>
                <w:bCs/>
                <w:sz w:val="21"/>
                <w:szCs w:val="21"/>
              </w:rPr>
              <w:t>机箱前面板安装2×RJ45接口</w:t>
            </w:r>
            <w:r>
              <w:rPr>
                <w:rFonts w:hint="eastAsia"/>
                <w:bCs/>
                <w:sz w:val="21"/>
                <w:szCs w:val="21"/>
                <w:lang w:eastAsia="zh-CN"/>
              </w:rPr>
              <w:t>（</w:t>
            </w:r>
            <w:r>
              <w:rPr>
                <w:bCs/>
                <w:sz w:val="21"/>
                <w:szCs w:val="21"/>
              </w:rPr>
              <w:t>用于机箱内子站EthercCAT总线的连接</w:t>
            </w:r>
            <w:r>
              <w:rPr>
                <w:rFonts w:hint="eastAsia"/>
                <w:bCs/>
                <w:sz w:val="21"/>
                <w:szCs w:val="21"/>
                <w:lang w:eastAsia="zh-CN"/>
              </w:rPr>
              <w:t>）</w:t>
            </w:r>
            <w:r>
              <w:rPr>
                <w:bCs/>
                <w:sz w:val="21"/>
                <w:szCs w:val="21"/>
              </w:rPr>
              <w:t>、机箱总电源、</w:t>
            </w:r>
            <w:bookmarkStart w:id="2" w:name="_Hlk208471808"/>
            <w:r>
              <w:rPr>
                <w:bCs/>
                <w:sz w:val="21"/>
                <w:szCs w:val="21"/>
              </w:rPr>
              <w:t>驱动板卡供电电源开关</w:t>
            </w:r>
            <w:bookmarkEnd w:id="2"/>
            <w:r>
              <w:rPr>
                <w:bCs/>
                <w:sz w:val="21"/>
                <w:szCs w:val="21"/>
              </w:rPr>
              <w:t>、急停按钮；</w:t>
            </w:r>
          </w:p>
          <w:p w14:paraId="657CA460">
            <w:pPr>
              <w:pStyle w:val="5"/>
              <w:numPr>
                <w:ilvl w:val="0"/>
                <w:numId w:val="2"/>
              </w:numPr>
              <w:spacing w:line="240" w:lineRule="auto"/>
              <w:ind w:left="709" w:leftChars="0" w:firstLineChars="0"/>
              <w:jc w:val="both"/>
              <w:rPr>
                <w:bCs/>
                <w:sz w:val="21"/>
                <w:szCs w:val="21"/>
              </w:rPr>
            </w:pPr>
            <w:r>
              <w:rPr>
                <w:bCs/>
                <w:sz w:val="21"/>
                <w:szCs w:val="21"/>
              </w:rPr>
              <w:t>机箱背面板安装19芯圆形 female连接器</w:t>
            </w:r>
            <w:r>
              <w:rPr>
                <w:rFonts w:hint="eastAsia"/>
                <w:bCs/>
                <w:sz w:val="21"/>
                <w:szCs w:val="21"/>
                <w:lang w:eastAsia="zh-CN"/>
              </w:rPr>
              <w:t>（</w:t>
            </w:r>
            <w:r>
              <w:rPr>
                <w:bCs/>
                <w:sz w:val="21"/>
                <w:szCs w:val="21"/>
              </w:rPr>
              <w:t>用于电机驱动、限位、零位、刹车信号连接</w:t>
            </w:r>
            <w:r>
              <w:rPr>
                <w:rFonts w:hint="eastAsia"/>
                <w:bCs/>
                <w:sz w:val="21"/>
                <w:szCs w:val="21"/>
                <w:lang w:eastAsia="zh-CN"/>
              </w:rPr>
              <w:t>）</w:t>
            </w:r>
            <w:r>
              <w:rPr>
                <w:bCs/>
                <w:sz w:val="21"/>
                <w:szCs w:val="21"/>
              </w:rPr>
              <w:t>，DB9 female连接器</w:t>
            </w:r>
            <w:r>
              <w:rPr>
                <w:rFonts w:hint="eastAsia"/>
                <w:bCs/>
                <w:sz w:val="21"/>
                <w:szCs w:val="21"/>
                <w:lang w:eastAsia="zh-CN"/>
              </w:rPr>
              <w:t>（</w:t>
            </w:r>
            <w:r>
              <w:rPr>
                <w:bCs/>
                <w:sz w:val="21"/>
                <w:szCs w:val="21"/>
              </w:rPr>
              <w:t>用于增量栅尺数据采集</w:t>
            </w:r>
            <w:r>
              <w:rPr>
                <w:rFonts w:hint="eastAsia"/>
                <w:bCs/>
                <w:sz w:val="21"/>
                <w:szCs w:val="21"/>
                <w:lang w:eastAsia="zh-CN"/>
              </w:rPr>
              <w:t>）</w:t>
            </w:r>
            <w:r>
              <w:rPr>
                <w:bCs/>
                <w:sz w:val="21"/>
                <w:szCs w:val="21"/>
              </w:rPr>
              <w:t>，BNC female连接器</w:t>
            </w:r>
            <w:r>
              <w:rPr>
                <w:rFonts w:hint="eastAsia"/>
                <w:bCs/>
                <w:sz w:val="21"/>
                <w:szCs w:val="21"/>
                <w:lang w:eastAsia="zh-CN"/>
              </w:rPr>
              <w:t>（</w:t>
            </w:r>
            <w:r>
              <w:rPr>
                <w:bCs/>
                <w:sz w:val="21"/>
                <w:szCs w:val="21"/>
              </w:rPr>
              <w:t>用于位置触发信号PEG信号输出</w:t>
            </w:r>
            <w:r>
              <w:rPr>
                <w:rFonts w:hint="eastAsia"/>
                <w:bCs/>
                <w:sz w:val="21"/>
                <w:szCs w:val="21"/>
                <w:lang w:eastAsia="zh-CN"/>
              </w:rPr>
              <w:t>）</w:t>
            </w:r>
            <w:r>
              <w:rPr>
                <w:bCs/>
                <w:sz w:val="21"/>
                <w:szCs w:val="21"/>
              </w:rPr>
              <w:t>，2芯航插（用于24V电压输出给运动控制模块），连接器引脚定义由采购人提供；</w:t>
            </w:r>
          </w:p>
          <w:p w14:paraId="79BAE2D8">
            <w:pPr>
              <w:pStyle w:val="5"/>
              <w:numPr>
                <w:ilvl w:val="0"/>
                <w:numId w:val="2"/>
              </w:numPr>
              <w:spacing w:line="240" w:lineRule="auto"/>
              <w:ind w:left="709" w:leftChars="0" w:firstLineChars="0"/>
              <w:jc w:val="both"/>
              <w:rPr>
                <w:bCs/>
                <w:sz w:val="21"/>
                <w:szCs w:val="21"/>
              </w:rPr>
            </w:pPr>
            <w:r>
              <w:rPr>
                <w:bCs/>
                <w:sz w:val="21"/>
                <w:szCs w:val="21"/>
              </w:rPr>
              <w:t>机箱内主板负责驱动板卡供电，同时将子站扇出模块发出各轴的脉冲、方向、使能信号进行转换，采集各轴外部设备的开关信号并将其分别传输至子站模块和驱动板卡；驱动板卡产生的驱动电流通过主板输出到后面板连接器，要求每路驱动设计通过电流不小于6A。</w:t>
            </w:r>
          </w:p>
          <w:p w14:paraId="119D6EDC">
            <w:pPr>
              <w:pStyle w:val="5"/>
              <w:numPr>
                <w:ilvl w:val="0"/>
                <w:numId w:val="1"/>
              </w:numPr>
              <w:spacing w:line="240" w:lineRule="auto"/>
              <w:ind w:firstLineChars="0"/>
              <w:jc w:val="left"/>
              <w:rPr>
                <w:bCs/>
                <w:sz w:val="21"/>
                <w:szCs w:val="21"/>
              </w:rPr>
            </w:pPr>
            <w:r>
              <w:rPr>
                <w:bCs/>
                <w:sz w:val="21"/>
                <w:szCs w:val="21"/>
              </w:rPr>
              <w:t>驱动板</w:t>
            </w:r>
            <w:r>
              <w:rPr>
                <w:rFonts w:hint="eastAsia"/>
                <w:bCs/>
                <w:sz w:val="21"/>
                <w:szCs w:val="21"/>
              </w:rPr>
              <w:t>卡</w:t>
            </w:r>
            <w:r>
              <w:rPr>
                <w:bCs/>
                <w:sz w:val="21"/>
                <w:szCs w:val="21"/>
              </w:rPr>
              <w:t>：</w:t>
            </w:r>
          </w:p>
          <w:p w14:paraId="5FB2A119">
            <w:pPr>
              <w:pStyle w:val="5"/>
              <w:numPr>
                <w:ilvl w:val="0"/>
                <w:numId w:val="3"/>
              </w:numPr>
              <w:spacing w:line="240" w:lineRule="auto"/>
              <w:ind w:left="709" w:leftChars="0" w:firstLineChars="0"/>
              <w:rPr>
                <w:bCs/>
                <w:sz w:val="21"/>
                <w:szCs w:val="21"/>
              </w:rPr>
            </w:pPr>
            <w:r>
              <w:rPr>
                <w:bCs/>
                <w:sz w:val="21"/>
                <w:szCs w:val="21"/>
              </w:rPr>
              <w:t>驱动板</w:t>
            </w:r>
            <w:r>
              <w:rPr>
                <w:rFonts w:hint="eastAsia"/>
                <w:bCs/>
                <w:sz w:val="21"/>
                <w:szCs w:val="21"/>
              </w:rPr>
              <w:t>卡</w:t>
            </w:r>
            <w:r>
              <w:rPr>
                <w:bCs/>
                <w:sz w:val="21"/>
                <w:szCs w:val="21"/>
              </w:rPr>
              <w:t>采用核心板+载板的设计，核心板分为5相核心板和2相核心板，载板可兼容5相和2相核心板，载板可配置选择不同的核心板；</w:t>
            </w:r>
          </w:p>
          <w:p w14:paraId="62DB183E">
            <w:pPr>
              <w:pStyle w:val="5"/>
              <w:numPr>
                <w:ilvl w:val="0"/>
                <w:numId w:val="3"/>
              </w:numPr>
              <w:spacing w:line="240" w:lineRule="auto"/>
              <w:ind w:left="709" w:leftChars="0" w:firstLineChars="0"/>
              <w:rPr>
                <w:bCs/>
                <w:sz w:val="21"/>
                <w:szCs w:val="21"/>
              </w:rPr>
            </w:pPr>
            <w:r>
              <w:rPr>
                <w:bCs/>
                <w:sz w:val="21"/>
                <w:szCs w:val="21"/>
              </w:rPr>
              <w:t>输入电压：DC 24 V±10%，保险丝3A；</w:t>
            </w:r>
          </w:p>
          <w:p w14:paraId="0A3DEC67">
            <w:pPr>
              <w:pStyle w:val="5"/>
              <w:numPr>
                <w:ilvl w:val="0"/>
                <w:numId w:val="3"/>
              </w:numPr>
              <w:spacing w:line="240" w:lineRule="auto"/>
              <w:ind w:left="709" w:leftChars="0" w:firstLineChars="0"/>
              <w:rPr>
                <w:bCs/>
                <w:sz w:val="21"/>
                <w:szCs w:val="21"/>
              </w:rPr>
            </w:pPr>
            <w:r>
              <w:rPr>
                <w:bCs/>
                <w:sz w:val="21"/>
                <w:szCs w:val="21"/>
              </w:rPr>
              <w:t>尺寸：3U、8HP，深度220mm；</w:t>
            </w:r>
          </w:p>
          <w:p w14:paraId="04A2D1C9">
            <w:pPr>
              <w:pStyle w:val="5"/>
              <w:numPr>
                <w:ilvl w:val="0"/>
                <w:numId w:val="3"/>
              </w:numPr>
              <w:spacing w:line="240" w:lineRule="auto"/>
              <w:ind w:left="709" w:leftChars="0" w:firstLineChars="0"/>
              <w:rPr>
                <w:bCs/>
                <w:sz w:val="21"/>
                <w:szCs w:val="21"/>
              </w:rPr>
            </w:pPr>
            <w:r>
              <w:rPr>
                <w:bCs/>
                <w:sz w:val="21"/>
                <w:szCs w:val="21"/>
              </w:rPr>
              <w:t>后插连接器兼容32 pin male DIN 41612，接口定义由采购人提供；</w:t>
            </w:r>
          </w:p>
          <w:p w14:paraId="7556BF7E">
            <w:pPr>
              <w:pStyle w:val="5"/>
              <w:numPr>
                <w:ilvl w:val="0"/>
                <w:numId w:val="3"/>
              </w:numPr>
              <w:spacing w:line="240" w:lineRule="auto"/>
              <w:ind w:left="709" w:leftChars="0" w:firstLineChars="0"/>
              <w:rPr>
                <w:bCs/>
                <w:sz w:val="21"/>
                <w:szCs w:val="21"/>
              </w:rPr>
            </w:pPr>
            <w:r>
              <w:rPr>
                <w:bCs/>
                <w:sz w:val="21"/>
                <w:szCs w:val="21"/>
              </w:rPr>
              <w:t>驱动板卡接受由主板传输的脉冲、方向、使能信号，产生步进电机所需的驱动电流，提供拨码或旋钮开关负责调节驱动电流、电子细分、保持电流、运动方向、远端使能逻辑、外部开关电平等逻辑的调节；</w:t>
            </w:r>
          </w:p>
          <w:p w14:paraId="1BFD3CD0">
            <w:pPr>
              <w:pStyle w:val="5"/>
              <w:numPr>
                <w:ilvl w:val="0"/>
                <w:numId w:val="3"/>
              </w:numPr>
              <w:spacing w:line="240" w:lineRule="auto"/>
              <w:ind w:left="709" w:leftChars="0" w:firstLineChars="0"/>
              <w:rPr>
                <w:bCs/>
                <w:sz w:val="21"/>
                <w:szCs w:val="21"/>
              </w:rPr>
            </w:pPr>
            <w:r>
              <w:rPr>
                <w:bCs/>
                <w:sz w:val="21"/>
                <w:szCs w:val="21"/>
              </w:rPr>
              <w:t>驱动电流：5相可支持最高2.4 A，2相可支持最高2.8 A；驱动电流可通过拨码开关调节，调节档位不小于6档；</w:t>
            </w:r>
          </w:p>
          <w:p w14:paraId="5D12AABD">
            <w:pPr>
              <w:pStyle w:val="5"/>
              <w:numPr>
                <w:ilvl w:val="0"/>
                <w:numId w:val="3"/>
              </w:numPr>
              <w:spacing w:line="240" w:lineRule="auto"/>
              <w:ind w:left="709" w:leftChars="0" w:firstLineChars="0"/>
              <w:rPr>
                <w:bCs/>
                <w:sz w:val="21"/>
                <w:szCs w:val="21"/>
              </w:rPr>
            </w:pPr>
            <w:r>
              <w:rPr>
                <w:bCs/>
                <w:sz w:val="21"/>
                <w:szCs w:val="21"/>
              </w:rPr>
              <w:t>电子细分：2相支持全步至256细分，5相支持全步至250细分；可通过拨码开关调节；</w:t>
            </w:r>
          </w:p>
          <w:p w14:paraId="302CF0D3">
            <w:pPr>
              <w:pStyle w:val="5"/>
              <w:numPr>
                <w:ilvl w:val="0"/>
                <w:numId w:val="3"/>
              </w:numPr>
              <w:spacing w:line="240" w:lineRule="auto"/>
              <w:ind w:left="709" w:leftChars="0" w:firstLineChars="0"/>
              <w:rPr>
                <w:bCs/>
                <w:sz w:val="21"/>
                <w:szCs w:val="21"/>
              </w:rPr>
            </w:pPr>
            <w:r>
              <w:rPr>
                <w:bCs/>
                <w:sz w:val="21"/>
                <w:szCs w:val="21"/>
              </w:rPr>
              <w:t>保持电流可配置；</w:t>
            </w:r>
          </w:p>
          <w:p w14:paraId="471F922A">
            <w:pPr>
              <w:pStyle w:val="5"/>
              <w:numPr>
                <w:ilvl w:val="0"/>
                <w:numId w:val="3"/>
              </w:numPr>
              <w:spacing w:line="240" w:lineRule="auto"/>
              <w:ind w:left="709" w:leftChars="0" w:firstLineChars="0"/>
              <w:rPr>
                <w:bCs/>
                <w:sz w:val="21"/>
                <w:szCs w:val="21"/>
              </w:rPr>
            </w:pPr>
            <w:r>
              <w:rPr>
                <w:bCs/>
                <w:sz w:val="21"/>
                <w:szCs w:val="21"/>
              </w:rPr>
              <w:t>面板显示驱动板卡上电状态、故障状态、正负限位以及零位状态的LED指示灯显示；</w:t>
            </w:r>
          </w:p>
          <w:p w14:paraId="213721FD">
            <w:pPr>
              <w:pStyle w:val="5"/>
              <w:numPr>
                <w:ilvl w:val="0"/>
                <w:numId w:val="3"/>
              </w:numPr>
              <w:spacing w:line="240" w:lineRule="auto"/>
              <w:ind w:left="709" w:leftChars="0" w:firstLineChars="0"/>
              <w:rPr>
                <w:bCs/>
                <w:sz w:val="21"/>
                <w:szCs w:val="21"/>
              </w:rPr>
            </w:pPr>
            <w:r>
              <w:rPr>
                <w:bCs/>
                <w:sz w:val="21"/>
                <w:szCs w:val="21"/>
              </w:rPr>
              <w:t>配备助拔器，按要求丝印；</w:t>
            </w:r>
          </w:p>
          <w:p w14:paraId="5B1F9A62">
            <w:pPr>
              <w:pStyle w:val="5"/>
              <w:numPr>
                <w:ilvl w:val="0"/>
                <w:numId w:val="3"/>
              </w:numPr>
              <w:spacing w:line="240" w:lineRule="auto"/>
              <w:ind w:left="709" w:leftChars="0" w:firstLineChars="0"/>
              <w:rPr>
                <w:bCs/>
                <w:sz w:val="21"/>
                <w:szCs w:val="21"/>
              </w:rPr>
            </w:pPr>
            <w:r>
              <w:rPr>
                <w:bCs/>
                <w:sz w:val="21"/>
                <w:szCs w:val="21"/>
              </w:rPr>
              <w:t>工艺要求：绿色阻焊，白色印字，载板丝印清晰；表面处理：沉金；工艺要求：无铅。</w:t>
            </w:r>
          </w:p>
          <w:p w14:paraId="667299A2">
            <w:pPr>
              <w:pStyle w:val="5"/>
              <w:numPr>
                <w:ilvl w:val="0"/>
                <w:numId w:val="1"/>
              </w:numPr>
              <w:spacing w:line="240" w:lineRule="auto"/>
              <w:ind w:firstLineChars="0"/>
              <w:jc w:val="left"/>
              <w:rPr>
                <w:bCs/>
                <w:sz w:val="21"/>
                <w:szCs w:val="21"/>
              </w:rPr>
            </w:pPr>
            <w:r>
              <w:rPr>
                <w:bCs/>
                <w:sz w:val="21"/>
                <w:szCs w:val="21"/>
              </w:rPr>
              <w:t>电源控制：</w:t>
            </w:r>
          </w:p>
          <w:p w14:paraId="557CDB9A">
            <w:pPr>
              <w:pStyle w:val="5"/>
              <w:numPr>
                <w:ilvl w:val="0"/>
                <w:numId w:val="4"/>
              </w:numPr>
              <w:spacing w:line="240" w:lineRule="auto"/>
              <w:ind w:left="709" w:leftChars="0" w:firstLineChars="0"/>
              <w:rPr>
                <w:bCs/>
                <w:sz w:val="21"/>
                <w:szCs w:val="21"/>
              </w:rPr>
            </w:pPr>
            <w:r>
              <w:rPr>
                <w:bCs/>
                <w:sz w:val="21"/>
                <w:szCs w:val="21"/>
              </w:rPr>
              <w:t>机箱的电源控制必须考虑人员和设备的安全性；</w:t>
            </w:r>
          </w:p>
          <w:p w14:paraId="32019789">
            <w:pPr>
              <w:pStyle w:val="5"/>
              <w:numPr>
                <w:ilvl w:val="0"/>
                <w:numId w:val="4"/>
              </w:numPr>
              <w:spacing w:line="240" w:lineRule="auto"/>
              <w:ind w:left="709" w:leftChars="0" w:firstLineChars="0"/>
              <w:rPr>
                <w:bCs/>
                <w:sz w:val="21"/>
                <w:szCs w:val="21"/>
              </w:rPr>
            </w:pPr>
            <w:r>
              <w:rPr>
                <w:bCs/>
                <w:sz w:val="21"/>
                <w:szCs w:val="21"/>
              </w:rPr>
              <w:t>通过前面板驱动板卡供电电源开关，实现驱动板卡电源的独立控制；</w:t>
            </w:r>
          </w:p>
          <w:p w14:paraId="021F2E87">
            <w:pPr>
              <w:pStyle w:val="5"/>
              <w:numPr>
                <w:ilvl w:val="0"/>
                <w:numId w:val="4"/>
              </w:numPr>
              <w:spacing w:line="240" w:lineRule="auto"/>
              <w:ind w:left="709" w:leftChars="0" w:firstLineChars="0"/>
              <w:rPr>
                <w:bCs/>
                <w:sz w:val="21"/>
                <w:szCs w:val="21"/>
              </w:rPr>
            </w:pPr>
            <w:r>
              <w:rPr>
                <w:bCs/>
                <w:sz w:val="21"/>
                <w:szCs w:val="21"/>
              </w:rPr>
              <w:t>机箱具有掉电保护功能。</w:t>
            </w:r>
          </w:p>
          <w:p w14:paraId="014896A9">
            <w:pPr>
              <w:pStyle w:val="5"/>
              <w:numPr>
                <w:ilvl w:val="0"/>
                <w:numId w:val="1"/>
              </w:numPr>
              <w:spacing w:line="240" w:lineRule="auto"/>
              <w:ind w:firstLineChars="0"/>
              <w:jc w:val="left"/>
              <w:rPr>
                <w:bCs/>
                <w:sz w:val="21"/>
                <w:szCs w:val="21"/>
              </w:rPr>
            </w:pPr>
            <w:r>
              <w:rPr>
                <w:bCs/>
                <w:sz w:val="21"/>
                <w:szCs w:val="21"/>
              </w:rPr>
              <w:t>软件支持：</w:t>
            </w:r>
          </w:p>
          <w:p w14:paraId="58C88BEA">
            <w:pPr>
              <w:pStyle w:val="5"/>
              <w:numPr>
                <w:ilvl w:val="0"/>
                <w:numId w:val="5"/>
              </w:numPr>
              <w:spacing w:line="240" w:lineRule="auto"/>
              <w:ind w:left="709" w:leftChars="0" w:firstLineChars="0"/>
              <w:rPr>
                <w:bCs/>
                <w:sz w:val="21"/>
                <w:szCs w:val="21"/>
              </w:rPr>
            </w:pPr>
            <w:r>
              <w:rPr>
                <w:bCs/>
                <w:sz w:val="21"/>
                <w:szCs w:val="21"/>
              </w:rPr>
              <w:t>编程语言支持IEC61131-3（LD/DT/CFC/SFC）；</w:t>
            </w:r>
          </w:p>
          <w:p w14:paraId="20AC7B87">
            <w:pPr>
              <w:pStyle w:val="5"/>
              <w:numPr>
                <w:ilvl w:val="0"/>
                <w:numId w:val="5"/>
              </w:numPr>
              <w:spacing w:line="240" w:lineRule="auto"/>
              <w:ind w:left="709" w:leftChars="0" w:firstLineChars="0"/>
              <w:rPr>
                <w:bCs/>
                <w:sz w:val="21"/>
                <w:szCs w:val="21"/>
              </w:rPr>
            </w:pPr>
            <w:r>
              <w:rPr>
                <w:bCs/>
                <w:sz w:val="21"/>
                <w:szCs w:val="21"/>
              </w:rPr>
              <w:t>支持插补、凸轮以及用户自定义轨迹扫描；支持位置开环和闭环方式切换；</w:t>
            </w:r>
          </w:p>
          <w:p w14:paraId="140BA384">
            <w:pPr>
              <w:pStyle w:val="5"/>
              <w:numPr>
                <w:ilvl w:val="0"/>
                <w:numId w:val="5"/>
              </w:numPr>
              <w:spacing w:line="240" w:lineRule="auto"/>
              <w:ind w:left="709" w:leftChars="0" w:firstLineChars="0"/>
              <w:rPr>
                <w:bCs/>
                <w:sz w:val="21"/>
                <w:szCs w:val="21"/>
              </w:rPr>
            </w:pPr>
            <w:r>
              <w:rPr>
                <w:bCs/>
                <w:sz w:val="21"/>
                <w:szCs w:val="21"/>
              </w:rPr>
              <w:t>运动控制模块上位机通信提供MODBUS-TCP、OPCUA、USB、串口通信方式；</w:t>
            </w:r>
          </w:p>
          <w:p w14:paraId="1D8CBEA5">
            <w:pPr>
              <w:pStyle w:val="5"/>
              <w:numPr>
                <w:ilvl w:val="0"/>
                <w:numId w:val="5"/>
              </w:numPr>
              <w:spacing w:line="240" w:lineRule="auto"/>
              <w:ind w:left="709" w:leftChars="0" w:firstLineChars="0"/>
              <w:jc w:val="left"/>
              <w:rPr>
                <w:bCs/>
                <w:sz w:val="21"/>
                <w:szCs w:val="21"/>
              </w:rPr>
            </w:pPr>
            <w:r>
              <w:rPr>
                <w:bCs/>
                <w:sz w:val="21"/>
                <w:szCs w:val="21"/>
              </w:rPr>
              <w:t>提供EPICS驱动及应用支持。</w:t>
            </w:r>
          </w:p>
          <w:p w14:paraId="3B7A828E">
            <w:pPr>
              <w:pStyle w:val="5"/>
              <w:numPr>
                <w:ilvl w:val="0"/>
                <w:numId w:val="1"/>
              </w:numPr>
              <w:spacing w:line="240" w:lineRule="auto"/>
              <w:ind w:firstLineChars="0"/>
              <w:jc w:val="left"/>
              <w:rPr>
                <w:b/>
                <w:sz w:val="21"/>
                <w:szCs w:val="21"/>
              </w:rPr>
            </w:pPr>
            <w:r>
              <w:rPr>
                <w:b/>
                <w:sz w:val="21"/>
                <w:szCs w:val="21"/>
              </w:rPr>
              <w:t>供货商须提供的技术资料：</w:t>
            </w:r>
          </w:p>
          <w:p w14:paraId="65EF476B">
            <w:pPr>
              <w:pStyle w:val="5"/>
              <w:numPr>
                <w:ilvl w:val="0"/>
                <w:numId w:val="6"/>
              </w:numPr>
              <w:spacing w:line="240" w:lineRule="auto"/>
              <w:ind w:left="709" w:leftChars="0" w:firstLineChars="0"/>
              <w:rPr>
                <w:bCs/>
                <w:sz w:val="21"/>
                <w:szCs w:val="21"/>
              </w:rPr>
            </w:pPr>
            <w:r>
              <w:rPr>
                <w:bCs/>
                <w:sz w:val="21"/>
                <w:szCs w:val="21"/>
              </w:rPr>
              <w:t>系统框图和电子版原理图；</w:t>
            </w:r>
          </w:p>
          <w:p w14:paraId="2793B8CD">
            <w:pPr>
              <w:pStyle w:val="5"/>
              <w:numPr>
                <w:ilvl w:val="0"/>
                <w:numId w:val="6"/>
              </w:numPr>
              <w:spacing w:line="240" w:lineRule="auto"/>
              <w:ind w:left="709" w:leftChars="0" w:firstLineChars="0"/>
              <w:rPr>
                <w:bCs/>
                <w:sz w:val="21"/>
                <w:szCs w:val="21"/>
              </w:rPr>
            </w:pPr>
            <w:r>
              <w:rPr>
                <w:bCs/>
                <w:sz w:val="21"/>
                <w:szCs w:val="21"/>
              </w:rPr>
              <w:t>各接头的管脚电气定义、物理意义；</w:t>
            </w:r>
          </w:p>
          <w:p w14:paraId="69255DA6">
            <w:pPr>
              <w:pStyle w:val="5"/>
              <w:numPr>
                <w:ilvl w:val="0"/>
                <w:numId w:val="6"/>
              </w:numPr>
              <w:spacing w:line="240" w:lineRule="auto"/>
              <w:ind w:left="709" w:leftChars="0" w:firstLineChars="0"/>
              <w:rPr>
                <w:bCs/>
                <w:sz w:val="21"/>
                <w:szCs w:val="21"/>
              </w:rPr>
            </w:pPr>
            <w:r>
              <w:rPr>
                <w:bCs/>
                <w:sz w:val="21"/>
                <w:szCs w:val="21"/>
              </w:rPr>
              <w:t>安装、校准和配置指南、使用手册；</w:t>
            </w:r>
          </w:p>
          <w:p w14:paraId="59868697">
            <w:pPr>
              <w:pStyle w:val="5"/>
              <w:numPr>
                <w:ilvl w:val="0"/>
                <w:numId w:val="6"/>
              </w:numPr>
              <w:spacing w:line="240" w:lineRule="auto"/>
              <w:ind w:left="709" w:leftChars="0" w:firstLineChars="0"/>
              <w:rPr>
                <w:bCs/>
                <w:sz w:val="21"/>
                <w:szCs w:val="21"/>
              </w:rPr>
            </w:pPr>
            <w:r>
              <w:rPr>
                <w:bCs/>
                <w:sz w:val="21"/>
                <w:szCs w:val="21"/>
              </w:rPr>
              <w:t>关键元器件（电路功率模块、各种芯片、电气元件、接插件和针脚、电缆等）的详细清单，包括型号、序列号、生产厂家、联系方式；</w:t>
            </w:r>
          </w:p>
          <w:p w14:paraId="18E62E2B">
            <w:pPr>
              <w:pStyle w:val="5"/>
              <w:numPr>
                <w:ilvl w:val="0"/>
                <w:numId w:val="6"/>
              </w:numPr>
              <w:spacing w:line="240" w:lineRule="auto"/>
              <w:ind w:left="709" w:leftChars="0" w:firstLineChars="0"/>
              <w:rPr>
                <w:bCs/>
                <w:sz w:val="21"/>
                <w:szCs w:val="21"/>
              </w:rPr>
            </w:pPr>
            <w:r>
              <w:rPr>
                <w:bCs/>
                <w:sz w:val="21"/>
                <w:szCs w:val="21"/>
              </w:rPr>
              <w:t>备品清单。</w:t>
            </w:r>
          </w:p>
          <w:p w14:paraId="5185DCE5">
            <w:pPr>
              <w:pStyle w:val="5"/>
              <w:numPr>
                <w:ilvl w:val="0"/>
                <w:numId w:val="1"/>
              </w:numPr>
              <w:spacing w:line="240" w:lineRule="auto"/>
              <w:ind w:firstLineChars="0"/>
              <w:jc w:val="left"/>
              <w:rPr>
                <w:b/>
                <w:sz w:val="21"/>
                <w:szCs w:val="21"/>
              </w:rPr>
            </w:pPr>
            <w:r>
              <w:rPr>
                <w:b/>
                <w:sz w:val="21"/>
                <w:szCs w:val="21"/>
              </w:rPr>
              <w:t>供货商具有类似产品开发经验，需提供相关业绩证明。</w:t>
            </w:r>
          </w:p>
          <w:p w14:paraId="256D400B">
            <w:pPr>
              <w:tabs>
                <w:tab w:val="left" w:pos="6915"/>
              </w:tabs>
              <w:jc w:val="left"/>
              <w:rPr>
                <w:rFonts w:hint="eastAsia" w:ascii="宋体" w:hAnsi="宋体" w:eastAsia="宋体" w:cs="宋体"/>
                <w:szCs w:val="21"/>
                <w:shd w:val="clear" w:color="auto" w:fill="FFFFFF"/>
              </w:rPr>
            </w:pPr>
          </w:p>
        </w:tc>
        <w:tc>
          <w:tcPr>
            <w:tcW w:w="1175" w:type="dxa"/>
            <w:vAlign w:val="center"/>
          </w:tcPr>
          <w:p w14:paraId="205FF5AB">
            <w:pPr>
              <w:spacing w:line="240" w:lineRule="atLeast"/>
              <w:jc w:val="center"/>
              <w:rPr>
                <w:rFonts w:hint="eastAsia" w:ascii="宋体" w:hAnsi="宋体" w:eastAsia="宋体" w:cs="宋体"/>
              </w:rPr>
            </w:pPr>
          </w:p>
        </w:tc>
        <w:tc>
          <w:tcPr>
            <w:tcW w:w="892" w:type="dxa"/>
            <w:vAlign w:val="center"/>
          </w:tcPr>
          <w:p w14:paraId="1C60665B">
            <w:pPr>
              <w:spacing w:line="240" w:lineRule="atLeast"/>
              <w:jc w:val="center"/>
              <w:rPr>
                <w:rFonts w:hint="eastAsia" w:ascii="宋体" w:hAnsi="宋体" w:eastAsia="宋体" w:cs="宋体"/>
              </w:rPr>
            </w:pPr>
          </w:p>
        </w:tc>
      </w:tr>
      <w:tr w14:paraId="497EA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6" w:hRule="atLeast"/>
        </w:trPr>
        <w:tc>
          <w:tcPr>
            <w:tcW w:w="814" w:type="dxa"/>
            <w:vAlign w:val="center"/>
          </w:tcPr>
          <w:p w14:paraId="21D5CC9B">
            <w:pPr>
              <w:spacing w:line="240" w:lineRule="atLeast"/>
              <w:jc w:val="center"/>
              <w:rPr>
                <w:rFonts w:hint="default" w:ascii="宋体" w:hAnsi="宋体" w:eastAsia="宋体" w:cs="宋体"/>
                <w:lang w:val="en-US" w:eastAsia="zh-CN"/>
              </w:rPr>
            </w:pPr>
            <w:r>
              <w:rPr>
                <w:rFonts w:hint="eastAsia" w:ascii="宋体" w:hAnsi="宋体" w:eastAsia="宋体" w:cs="宋体"/>
                <w:lang w:val="en-US" w:eastAsia="zh-CN"/>
              </w:rPr>
              <w:t>2</w:t>
            </w:r>
          </w:p>
        </w:tc>
        <w:tc>
          <w:tcPr>
            <w:tcW w:w="1400" w:type="dxa"/>
            <w:tcBorders>
              <w:top w:val="single" w:color="auto" w:sz="4" w:space="0"/>
              <w:left w:val="single" w:color="auto" w:sz="4" w:space="0"/>
              <w:bottom w:val="single" w:color="auto" w:sz="4" w:space="0"/>
              <w:right w:val="single" w:color="auto" w:sz="4" w:space="0"/>
            </w:tcBorders>
            <w:shd w:val="clear" w:color="auto" w:fill="auto"/>
            <w:vAlign w:val="center"/>
          </w:tcPr>
          <w:p w14:paraId="2217188C">
            <w:pPr>
              <w:widowControl/>
              <w:spacing w:line="240" w:lineRule="atLeast"/>
              <w:jc w:val="center"/>
              <w:rPr>
                <w:rFonts w:hint="eastAsia" w:ascii="宋体" w:hAnsi="宋体" w:eastAsia="宋体" w:cs="宋体"/>
              </w:rPr>
            </w:pPr>
            <w:r>
              <w:rPr>
                <w:rFonts w:hint="eastAsia" w:ascii="宋体" w:hAnsi="宋体" w:eastAsia="宋体" w:cs="宋体"/>
              </w:rPr>
              <w:t>商务条款</w:t>
            </w:r>
          </w:p>
        </w:tc>
        <w:tc>
          <w:tcPr>
            <w:tcW w:w="5500" w:type="dxa"/>
            <w:tcBorders>
              <w:top w:val="single" w:color="auto" w:sz="4" w:space="0"/>
              <w:left w:val="nil"/>
              <w:bottom w:val="single" w:color="auto" w:sz="4" w:space="0"/>
              <w:right w:val="single" w:color="auto" w:sz="4" w:space="0"/>
            </w:tcBorders>
            <w:shd w:val="clear" w:color="auto" w:fill="auto"/>
            <w:vAlign w:val="center"/>
          </w:tcPr>
          <w:p w14:paraId="17781CA7">
            <w:pPr>
              <w:spacing w:line="240" w:lineRule="auto"/>
              <w:jc w:val="left"/>
              <w:rPr>
                <w:bCs/>
                <w:sz w:val="21"/>
                <w:szCs w:val="21"/>
              </w:rPr>
            </w:pPr>
            <w:r>
              <w:rPr>
                <w:b/>
                <w:sz w:val="21"/>
                <w:szCs w:val="21"/>
              </w:rPr>
              <w:t>交货期：</w:t>
            </w:r>
            <w:r>
              <w:rPr>
                <w:bCs/>
                <w:sz w:val="21"/>
                <w:szCs w:val="21"/>
              </w:rPr>
              <w:t>合同签订</w:t>
            </w:r>
            <w:r>
              <w:rPr>
                <w:rFonts w:hint="eastAsia"/>
                <w:bCs/>
                <w:sz w:val="21"/>
                <w:szCs w:val="21"/>
              </w:rPr>
              <w:t>之日起</w:t>
            </w:r>
            <w:r>
              <w:rPr>
                <w:bCs/>
                <w:sz w:val="21"/>
                <w:szCs w:val="21"/>
              </w:rPr>
              <w:t>1</w:t>
            </w:r>
            <w:r>
              <w:rPr>
                <w:rFonts w:hint="eastAsia"/>
                <w:bCs/>
                <w:sz w:val="21"/>
                <w:szCs w:val="21"/>
              </w:rPr>
              <w:t>2</w:t>
            </w:r>
            <w:r>
              <w:rPr>
                <w:bCs/>
                <w:sz w:val="21"/>
                <w:szCs w:val="21"/>
              </w:rPr>
              <w:t>周</w:t>
            </w:r>
            <w:r>
              <w:rPr>
                <w:rFonts w:hint="eastAsia"/>
                <w:bCs/>
                <w:sz w:val="21"/>
                <w:szCs w:val="21"/>
              </w:rPr>
              <w:t>内完成全部交货</w:t>
            </w:r>
            <w:r>
              <w:rPr>
                <w:bCs/>
                <w:sz w:val="21"/>
                <w:szCs w:val="21"/>
              </w:rPr>
              <w:t>。</w:t>
            </w:r>
          </w:p>
          <w:p w14:paraId="79050F06">
            <w:pPr>
              <w:spacing w:line="240" w:lineRule="auto"/>
              <w:jc w:val="left"/>
              <w:rPr>
                <w:b/>
                <w:sz w:val="21"/>
                <w:szCs w:val="21"/>
              </w:rPr>
            </w:pPr>
            <w:r>
              <w:rPr>
                <w:rFonts w:hint="eastAsia"/>
                <w:b/>
                <w:sz w:val="21"/>
                <w:szCs w:val="21"/>
              </w:rPr>
              <w:t>交付进度：</w:t>
            </w:r>
            <w:r>
              <w:rPr>
                <w:rFonts w:hint="eastAsia"/>
                <w:bCs/>
                <w:sz w:val="21"/>
                <w:szCs w:val="21"/>
              </w:rPr>
              <w:t>合同签订之后1周内供应商提供样机测试，测试通过后11周内完成全部交货。</w:t>
            </w:r>
          </w:p>
          <w:p w14:paraId="2DD8C18C">
            <w:pPr>
              <w:tabs>
                <w:tab w:val="left" w:pos="6915"/>
              </w:tabs>
              <w:spacing w:line="240" w:lineRule="auto"/>
              <w:jc w:val="left"/>
              <w:rPr>
                <w:b/>
                <w:sz w:val="21"/>
                <w:szCs w:val="21"/>
              </w:rPr>
            </w:pPr>
            <w:r>
              <w:rPr>
                <w:b/>
                <w:sz w:val="21"/>
                <w:szCs w:val="21"/>
              </w:rPr>
              <w:t>付款方式：</w:t>
            </w:r>
            <w:r>
              <w:rPr>
                <w:bCs/>
                <w:sz w:val="21"/>
                <w:szCs w:val="21"/>
              </w:rPr>
              <w:t>合同签订后，供应商提供样机，测试通过后，支付</w:t>
            </w:r>
            <w:r>
              <w:rPr>
                <w:rFonts w:hint="eastAsia"/>
                <w:bCs/>
                <w:sz w:val="21"/>
                <w:szCs w:val="21"/>
                <w:lang w:val="en-US" w:eastAsia="zh-CN"/>
              </w:rPr>
              <w:t>合同总金额的</w:t>
            </w:r>
            <w:r>
              <w:rPr>
                <w:bCs/>
                <w:sz w:val="21"/>
                <w:szCs w:val="21"/>
              </w:rPr>
              <w:t>60%；验收并通过后90个工作日内全额付款。</w:t>
            </w:r>
          </w:p>
          <w:p w14:paraId="6F85D35A">
            <w:pPr>
              <w:tabs>
                <w:tab w:val="left" w:pos="6915"/>
              </w:tabs>
              <w:spacing w:line="240" w:lineRule="auto"/>
              <w:jc w:val="left"/>
              <w:rPr>
                <w:b/>
                <w:sz w:val="21"/>
                <w:szCs w:val="21"/>
              </w:rPr>
            </w:pPr>
            <w:r>
              <w:rPr>
                <w:b/>
                <w:sz w:val="21"/>
                <w:szCs w:val="21"/>
              </w:rPr>
              <w:t>验收指标及验收要求：</w:t>
            </w:r>
          </w:p>
          <w:p w14:paraId="7C0A0613">
            <w:pPr>
              <w:spacing w:line="240" w:lineRule="auto"/>
              <w:jc w:val="left"/>
              <w:rPr>
                <w:bCs/>
                <w:sz w:val="21"/>
                <w:szCs w:val="21"/>
              </w:rPr>
            </w:pPr>
            <w:r>
              <w:rPr>
                <w:bCs/>
                <w:sz w:val="21"/>
                <w:szCs w:val="21"/>
              </w:rPr>
              <w:t>供货商提供测试工装以及相关功能测试工具进项验收测试，采购人提供必要的测试环境。</w:t>
            </w:r>
          </w:p>
          <w:tbl>
            <w:tblPr>
              <w:tblStyle w:val="3"/>
              <w:tblpPr w:leftFromText="180" w:rightFromText="180" w:vertAnchor="text" w:horzAnchor="page" w:tblpX="134" w:tblpY="33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0"/>
              <w:gridCol w:w="4050"/>
            </w:tblGrid>
            <w:tr w14:paraId="7D118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0" w:type="dxa"/>
                  <w:vAlign w:val="top"/>
                </w:tcPr>
                <w:p w14:paraId="1E1A5677">
                  <w:pPr>
                    <w:tabs>
                      <w:tab w:val="left" w:pos="6915"/>
                    </w:tabs>
                    <w:jc w:val="center"/>
                    <w:rPr>
                      <w:b/>
                      <w:bCs/>
                      <w:sz w:val="21"/>
                      <w:szCs w:val="21"/>
                    </w:rPr>
                  </w:pPr>
                  <w:r>
                    <w:rPr>
                      <w:b/>
                      <w:bCs/>
                      <w:sz w:val="21"/>
                      <w:szCs w:val="21"/>
                    </w:rPr>
                    <w:t>验收指标</w:t>
                  </w:r>
                </w:p>
              </w:tc>
              <w:tc>
                <w:tcPr>
                  <w:tcW w:w="4050" w:type="dxa"/>
                  <w:vAlign w:val="top"/>
                </w:tcPr>
                <w:p w14:paraId="49389860">
                  <w:pPr>
                    <w:tabs>
                      <w:tab w:val="left" w:pos="6915"/>
                    </w:tabs>
                    <w:jc w:val="center"/>
                    <w:rPr>
                      <w:b/>
                      <w:bCs/>
                      <w:sz w:val="21"/>
                      <w:szCs w:val="21"/>
                    </w:rPr>
                  </w:pPr>
                  <w:r>
                    <w:rPr>
                      <w:b/>
                      <w:bCs/>
                      <w:sz w:val="21"/>
                      <w:szCs w:val="21"/>
                    </w:rPr>
                    <w:t>验收要求</w:t>
                  </w:r>
                </w:p>
              </w:tc>
            </w:tr>
            <w:tr w14:paraId="18EEC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0" w:type="dxa"/>
                  <w:vAlign w:val="top"/>
                </w:tcPr>
                <w:p w14:paraId="25A517F4">
                  <w:pPr>
                    <w:pStyle w:val="5"/>
                    <w:numPr>
                      <w:ilvl w:val="0"/>
                      <w:numId w:val="0"/>
                    </w:numPr>
                    <w:tabs>
                      <w:tab w:val="left" w:pos="6915"/>
                    </w:tabs>
                    <w:ind w:leftChars="0"/>
                    <w:jc w:val="left"/>
                    <w:rPr>
                      <w:sz w:val="21"/>
                      <w:szCs w:val="21"/>
                    </w:rPr>
                  </w:pPr>
                  <w:r>
                    <w:rPr>
                      <w:sz w:val="21"/>
                      <w:szCs w:val="21"/>
                    </w:rPr>
                    <w:t>外观检测</w:t>
                  </w:r>
                </w:p>
              </w:tc>
              <w:tc>
                <w:tcPr>
                  <w:tcW w:w="4050" w:type="dxa"/>
                  <w:vAlign w:val="top"/>
                </w:tcPr>
                <w:p w14:paraId="6EED1CD6">
                  <w:pPr>
                    <w:pStyle w:val="5"/>
                    <w:numPr>
                      <w:ilvl w:val="0"/>
                      <w:numId w:val="7"/>
                    </w:numPr>
                    <w:tabs>
                      <w:tab w:val="left" w:pos="6915"/>
                    </w:tabs>
                    <w:ind w:firstLineChars="0"/>
                    <w:jc w:val="left"/>
                    <w:rPr>
                      <w:sz w:val="21"/>
                      <w:szCs w:val="21"/>
                    </w:rPr>
                  </w:pPr>
                  <w:r>
                    <w:rPr>
                      <w:sz w:val="21"/>
                      <w:szCs w:val="21"/>
                    </w:rPr>
                    <w:t>机箱高度不超过4.5U，宽度19英寸，深度不超过500mm</w:t>
                  </w:r>
                </w:p>
                <w:p w14:paraId="27D557D1">
                  <w:pPr>
                    <w:pStyle w:val="5"/>
                    <w:numPr>
                      <w:ilvl w:val="0"/>
                      <w:numId w:val="7"/>
                    </w:numPr>
                    <w:tabs>
                      <w:tab w:val="left" w:pos="6915"/>
                    </w:tabs>
                    <w:ind w:firstLineChars="0"/>
                    <w:jc w:val="left"/>
                    <w:rPr>
                      <w:sz w:val="21"/>
                      <w:szCs w:val="21"/>
                    </w:rPr>
                  </w:pPr>
                  <w:r>
                    <w:rPr>
                      <w:sz w:val="21"/>
                      <w:szCs w:val="21"/>
                    </w:rPr>
                    <w:t>机箱内部结构安装牢固，晃动无异响</w:t>
                  </w:r>
                </w:p>
                <w:p w14:paraId="66C08A2D">
                  <w:pPr>
                    <w:pStyle w:val="5"/>
                    <w:numPr>
                      <w:ilvl w:val="0"/>
                      <w:numId w:val="7"/>
                    </w:numPr>
                    <w:tabs>
                      <w:tab w:val="left" w:pos="6915"/>
                    </w:tabs>
                    <w:ind w:firstLineChars="0"/>
                    <w:jc w:val="left"/>
                    <w:rPr>
                      <w:sz w:val="21"/>
                      <w:szCs w:val="21"/>
                    </w:rPr>
                  </w:pPr>
                  <w:r>
                    <w:rPr>
                      <w:sz w:val="21"/>
                      <w:szCs w:val="21"/>
                    </w:rPr>
                    <w:t>机箱壳体无裂缝、裂纹、凹陷等损伤</w:t>
                  </w:r>
                </w:p>
              </w:tc>
            </w:tr>
            <w:tr w14:paraId="4E6E6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0" w:type="dxa"/>
                  <w:vAlign w:val="top"/>
                </w:tcPr>
                <w:p w14:paraId="37C76C07">
                  <w:pPr>
                    <w:pStyle w:val="5"/>
                    <w:numPr>
                      <w:ilvl w:val="0"/>
                      <w:numId w:val="0"/>
                    </w:numPr>
                    <w:tabs>
                      <w:tab w:val="left" w:pos="6915"/>
                    </w:tabs>
                    <w:ind w:leftChars="0"/>
                    <w:jc w:val="left"/>
                    <w:rPr>
                      <w:sz w:val="21"/>
                      <w:szCs w:val="21"/>
                    </w:rPr>
                  </w:pPr>
                  <w:r>
                    <w:rPr>
                      <w:sz w:val="21"/>
                      <w:szCs w:val="21"/>
                    </w:rPr>
                    <w:t>前面板及指示灯</w:t>
                  </w:r>
                </w:p>
              </w:tc>
              <w:tc>
                <w:tcPr>
                  <w:tcW w:w="4050" w:type="dxa"/>
                  <w:vAlign w:val="top"/>
                </w:tcPr>
                <w:p w14:paraId="08F2F3DB">
                  <w:pPr>
                    <w:pStyle w:val="5"/>
                    <w:numPr>
                      <w:ilvl w:val="0"/>
                      <w:numId w:val="8"/>
                    </w:numPr>
                    <w:tabs>
                      <w:tab w:val="left" w:pos="6915"/>
                    </w:tabs>
                    <w:ind w:firstLineChars="0"/>
                    <w:jc w:val="left"/>
                    <w:rPr>
                      <w:sz w:val="21"/>
                      <w:szCs w:val="21"/>
                    </w:rPr>
                  </w:pPr>
                  <w:r>
                    <w:rPr>
                      <w:sz w:val="21"/>
                      <w:szCs w:val="21"/>
                    </w:rPr>
                    <w:t>前面板Power指示灯正常</w:t>
                  </w:r>
                </w:p>
                <w:p w14:paraId="7BCEE8A1">
                  <w:pPr>
                    <w:pStyle w:val="5"/>
                    <w:numPr>
                      <w:ilvl w:val="0"/>
                      <w:numId w:val="8"/>
                    </w:numPr>
                    <w:tabs>
                      <w:tab w:val="left" w:pos="6915"/>
                    </w:tabs>
                    <w:ind w:firstLineChars="0"/>
                    <w:jc w:val="left"/>
                    <w:rPr>
                      <w:sz w:val="21"/>
                      <w:szCs w:val="21"/>
                    </w:rPr>
                  </w:pPr>
                  <w:r>
                    <w:rPr>
                      <w:sz w:val="21"/>
                      <w:szCs w:val="21"/>
                    </w:rPr>
                    <w:t>驱动板卡指示灯正常</w:t>
                  </w:r>
                </w:p>
                <w:p w14:paraId="53D349CB">
                  <w:pPr>
                    <w:pStyle w:val="5"/>
                    <w:numPr>
                      <w:ilvl w:val="0"/>
                      <w:numId w:val="8"/>
                    </w:numPr>
                    <w:tabs>
                      <w:tab w:val="left" w:pos="6915"/>
                    </w:tabs>
                    <w:ind w:firstLineChars="0"/>
                    <w:jc w:val="left"/>
                    <w:rPr>
                      <w:sz w:val="21"/>
                      <w:szCs w:val="21"/>
                    </w:rPr>
                  </w:pPr>
                  <w:r>
                    <w:rPr>
                      <w:sz w:val="21"/>
                      <w:szCs w:val="21"/>
                    </w:rPr>
                    <w:t>驱动板卡开关功能正常</w:t>
                  </w:r>
                </w:p>
                <w:p w14:paraId="069CF089">
                  <w:pPr>
                    <w:pStyle w:val="5"/>
                    <w:numPr>
                      <w:ilvl w:val="0"/>
                      <w:numId w:val="8"/>
                    </w:numPr>
                    <w:tabs>
                      <w:tab w:val="left" w:pos="6915"/>
                    </w:tabs>
                    <w:ind w:firstLineChars="0"/>
                    <w:jc w:val="left"/>
                    <w:rPr>
                      <w:sz w:val="21"/>
                      <w:szCs w:val="21"/>
                    </w:rPr>
                  </w:pPr>
                  <w:r>
                    <w:rPr>
                      <w:sz w:val="21"/>
                      <w:szCs w:val="21"/>
                    </w:rPr>
                    <w:t>急停功能正常</w:t>
                  </w:r>
                </w:p>
                <w:p w14:paraId="0622BDB5">
                  <w:pPr>
                    <w:pStyle w:val="5"/>
                    <w:numPr>
                      <w:ilvl w:val="0"/>
                      <w:numId w:val="8"/>
                    </w:numPr>
                    <w:tabs>
                      <w:tab w:val="left" w:pos="6915"/>
                    </w:tabs>
                    <w:ind w:firstLineChars="0"/>
                    <w:jc w:val="left"/>
                    <w:rPr>
                      <w:sz w:val="21"/>
                      <w:szCs w:val="21"/>
                    </w:rPr>
                  </w:pPr>
                  <w:r>
                    <w:rPr>
                      <w:sz w:val="21"/>
                      <w:szCs w:val="21"/>
                    </w:rPr>
                    <w:t>EtherCAT in/out功能正常</w:t>
                  </w:r>
                </w:p>
              </w:tc>
            </w:tr>
            <w:tr w14:paraId="194EA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0" w:type="dxa"/>
                  <w:vAlign w:val="top"/>
                </w:tcPr>
                <w:p w14:paraId="5A5FC01D">
                  <w:pPr>
                    <w:pStyle w:val="5"/>
                    <w:numPr>
                      <w:ilvl w:val="0"/>
                      <w:numId w:val="0"/>
                    </w:numPr>
                    <w:tabs>
                      <w:tab w:val="left" w:pos="6915"/>
                    </w:tabs>
                    <w:ind w:leftChars="0"/>
                    <w:jc w:val="left"/>
                    <w:rPr>
                      <w:sz w:val="21"/>
                      <w:szCs w:val="21"/>
                    </w:rPr>
                  </w:pPr>
                  <w:r>
                    <w:rPr>
                      <w:sz w:val="21"/>
                      <w:szCs w:val="21"/>
                    </w:rPr>
                    <w:t>后面板接口及连接器</w:t>
                  </w:r>
                </w:p>
              </w:tc>
              <w:tc>
                <w:tcPr>
                  <w:tcW w:w="4050" w:type="dxa"/>
                  <w:vAlign w:val="top"/>
                </w:tcPr>
                <w:p w14:paraId="33C6B1C1">
                  <w:pPr>
                    <w:pStyle w:val="5"/>
                    <w:numPr>
                      <w:ilvl w:val="0"/>
                      <w:numId w:val="9"/>
                    </w:numPr>
                    <w:tabs>
                      <w:tab w:val="left" w:pos="6915"/>
                    </w:tabs>
                    <w:ind w:firstLineChars="0"/>
                    <w:jc w:val="left"/>
                    <w:rPr>
                      <w:sz w:val="21"/>
                      <w:szCs w:val="21"/>
                    </w:rPr>
                  </w:pPr>
                  <w:r>
                    <w:rPr>
                      <w:sz w:val="21"/>
                      <w:szCs w:val="21"/>
                    </w:rPr>
                    <w:t>总电源输入接口：AC 220V±10%/10A</w:t>
                  </w:r>
                </w:p>
                <w:p w14:paraId="33330BAC">
                  <w:pPr>
                    <w:pStyle w:val="5"/>
                    <w:numPr>
                      <w:ilvl w:val="0"/>
                      <w:numId w:val="9"/>
                    </w:numPr>
                    <w:tabs>
                      <w:tab w:val="left" w:pos="6915"/>
                    </w:tabs>
                    <w:ind w:firstLineChars="0"/>
                    <w:jc w:val="left"/>
                    <w:rPr>
                      <w:sz w:val="21"/>
                      <w:szCs w:val="21"/>
                    </w:rPr>
                  </w:pPr>
                  <w:r>
                    <w:rPr>
                      <w:sz w:val="21"/>
                      <w:szCs w:val="21"/>
                    </w:rPr>
                    <w:t>提供24V电源航插输出口，功能正常</w:t>
                  </w:r>
                </w:p>
                <w:p w14:paraId="3B377931">
                  <w:pPr>
                    <w:pStyle w:val="5"/>
                    <w:numPr>
                      <w:ilvl w:val="0"/>
                      <w:numId w:val="9"/>
                    </w:numPr>
                    <w:tabs>
                      <w:tab w:val="left" w:pos="6915"/>
                    </w:tabs>
                    <w:ind w:firstLineChars="0"/>
                    <w:jc w:val="left"/>
                    <w:rPr>
                      <w:sz w:val="21"/>
                      <w:szCs w:val="21"/>
                    </w:rPr>
                  </w:pPr>
                  <w:r>
                    <w:rPr>
                      <w:sz w:val="21"/>
                      <w:szCs w:val="21"/>
                    </w:rPr>
                    <w:t>提供PEG output的接口，功能正常</w:t>
                  </w:r>
                </w:p>
                <w:p w14:paraId="6AC61B8C">
                  <w:pPr>
                    <w:pStyle w:val="5"/>
                    <w:numPr>
                      <w:ilvl w:val="0"/>
                      <w:numId w:val="9"/>
                    </w:numPr>
                    <w:tabs>
                      <w:tab w:val="left" w:pos="6915"/>
                    </w:tabs>
                    <w:ind w:firstLineChars="0"/>
                    <w:jc w:val="left"/>
                    <w:rPr>
                      <w:sz w:val="21"/>
                      <w:szCs w:val="21"/>
                    </w:rPr>
                  </w:pPr>
                  <w:r>
                    <w:rPr>
                      <w:sz w:val="21"/>
                      <w:szCs w:val="21"/>
                    </w:rPr>
                    <w:t>提供8路 Encoder input接口，功能正常</w:t>
                  </w:r>
                </w:p>
                <w:p w14:paraId="54D5C28A">
                  <w:pPr>
                    <w:pStyle w:val="5"/>
                    <w:numPr>
                      <w:ilvl w:val="0"/>
                      <w:numId w:val="9"/>
                    </w:numPr>
                    <w:tabs>
                      <w:tab w:val="left" w:pos="6915"/>
                    </w:tabs>
                    <w:ind w:firstLineChars="0"/>
                    <w:jc w:val="left"/>
                    <w:rPr>
                      <w:sz w:val="21"/>
                      <w:szCs w:val="21"/>
                    </w:rPr>
                  </w:pPr>
                  <w:r>
                    <w:rPr>
                      <w:sz w:val="21"/>
                      <w:szCs w:val="21"/>
                    </w:rPr>
                    <w:t>提供8路输出驱动信号、正负限位输入及brake信号，采用19芯苏里奥连接器，功能正常</w:t>
                  </w:r>
                </w:p>
              </w:tc>
            </w:tr>
            <w:tr w14:paraId="626AA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0" w:type="dxa"/>
                  <w:vAlign w:val="top"/>
                </w:tcPr>
                <w:p w14:paraId="0EDAD642">
                  <w:pPr>
                    <w:pStyle w:val="5"/>
                    <w:numPr>
                      <w:ilvl w:val="0"/>
                      <w:numId w:val="0"/>
                    </w:numPr>
                    <w:tabs>
                      <w:tab w:val="left" w:pos="6915"/>
                    </w:tabs>
                    <w:ind w:leftChars="0"/>
                    <w:jc w:val="left"/>
                    <w:rPr>
                      <w:sz w:val="21"/>
                      <w:szCs w:val="21"/>
                    </w:rPr>
                  </w:pPr>
                  <w:r>
                    <w:rPr>
                      <w:sz w:val="21"/>
                      <w:szCs w:val="21"/>
                    </w:rPr>
                    <w:t>驱动板卡</w:t>
                  </w:r>
                </w:p>
              </w:tc>
              <w:tc>
                <w:tcPr>
                  <w:tcW w:w="4050" w:type="dxa"/>
                  <w:vAlign w:val="top"/>
                </w:tcPr>
                <w:p w14:paraId="52F9630E">
                  <w:pPr>
                    <w:pStyle w:val="5"/>
                    <w:numPr>
                      <w:ilvl w:val="0"/>
                      <w:numId w:val="10"/>
                    </w:numPr>
                    <w:tabs>
                      <w:tab w:val="left" w:pos="6915"/>
                    </w:tabs>
                    <w:ind w:firstLineChars="0"/>
                    <w:jc w:val="left"/>
                    <w:rPr>
                      <w:sz w:val="21"/>
                      <w:szCs w:val="21"/>
                    </w:rPr>
                  </w:pPr>
                  <w:r>
                    <w:rPr>
                      <w:sz w:val="21"/>
                      <w:szCs w:val="21"/>
                    </w:rPr>
                    <w:t>驱动板卡</w:t>
                  </w:r>
                  <w:r>
                    <w:rPr>
                      <w:bCs/>
                      <w:sz w:val="21"/>
                      <w:szCs w:val="21"/>
                    </w:rPr>
                    <w:t>3U、8HP，深度220mm</w:t>
                  </w:r>
                </w:p>
                <w:p w14:paraId="3659E763">
                  <w:pPr>
                    <w:pStyle w:val="5"/>
                    <w:numPr>
                      <w:ilvl w:val="0"/>
                      <w:numId w:val="10"/>
                    </w:numPr>
                    <w:tabs>
                      <w:tab w:val="left" w:pos="6915"/>
                    </w:tabs>
                    <w:ind w:firstLineChars="0"/>
                    <w:jc w:val="left"/>
                    <w:rPr>
                      <w:sz w:val="21"/>
                      <w:szCs w:val="21"/>
                    </w:rPr>
                  </w:pPr>
                  <w:r>
                    <w:rPr>
                      <w:sz w:val="21"/>
                      <w:szCs w:val="21"/>
                    </w:rPr>
                    <w:t>前面按钮和LED工作正常</w:t>
                  </w:r>
                </w:p>
                <w:p w14:paraId="348098CC">
                  <w:pPr>
                    <w:pStyle w:val="5"/>
                    <w:numPr>
                      <w:ilvl w:val="0"/>
                      <w:numId w:val="10"/>
                    </w:numPr>
                    <w:tabs>
                      <w:tab w:val="left" w:pos="6915"/>
                    </w:tabs>
                    <w:ind w:firstLineChars="0"/>
                    <w:jc w:val="left"/>
                    <w:rPr>
                      <w:sz w:val="21"/>
                      <w:szCs w:val="21"/>
                    </w:rPr>
                  </w:pPr>
                  <w:r>
                    <w:rPr>
                      <w:sz w:val="21"/>
                      <w:szCs w:val="21"/>
                    </w:rPr>
                    <w:t>方向、限位极性可调节</w:t>
                  </w:r>
                </w:p>
                <w:p w14:paraId="14E5D752">
                  <w:pPr>
                    <w:pStyle w:val="5"/>
                    <w:numPr>
                      <w:ilvl w:val="0"/>
                      <w:numId w:val="10"/>
                    </w:numPr>
                    <w:tabs>
                      <w:tab w:val="left" w:pos="6915"/>
                    </w:tabs>
                    <w:ind w:firstLineChars="0"/>
                    <w:jc w:val="left"/>
                    <w:rPr>
                      <w:sz w:val="21"/>
                      <w:szCs w:val="21"/>
                    </w:rPr>
                  </w:pPr>
                  <w:r>
                    <w:rPr>
                      <w:sz w:val="21"/>
                      <w:szCs w:val="21"/>
                    </w:rPr>
                    <w:t>硬件限位保护功能正常</w:t>
                  </w:r>
                </w:p>
              </w:tc>
            </w:tr>
            <w:tr w14:paraId="13834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0" w:type="dxa"/>
                  <w:vAlign w:val="top"/>
                </w:tcPr>
                <w:p w14:paraId="569AE723">
                  <w:pPr>
                    <w:pStyle w:val="5"/>
                    <w:numPr>
                      <w:ilvl w:val="0"/>
                      <w:numId w:val="0"/>
                    </w:numPr>
                    <w:tabs>
                      <w:tab w:val="left" w:pos="6915"/>
                    </w:tabs>
                    <w:ind w:leftChars="0"/>
                    <w:jc w:val="left"/>
                    <w:rPr>
                      <w:sz w:val="21"/>
                      <w:szCs w:val="21"/>
                    </w:rPr>
                  </w:pPr>
                  <w:r>
                    <w:rPr>
                      <w:sz w:val="21"/>
                      <w:szCs w:val="21"/>
                    </w:rPr>
                    <w:t>软件功能</w:t>
                  </w:r>
                </w:p>
              </w:tc>
              <w:tc>
                <w:tcPr>
                  <w:tcW w:w="4050" w:type="dxa"/>
                  <w:vAlign w:val="top"/>
                </w:tcPr>
                <w:p w14:paraId="65A9F338">
                  <w:pPr>
                    <w:pStyle w:val="5"/>
                    <w:tabs>
                      <w:tab w:val="left" w:pos="6915"/>
                    </w:tabs>
                    <w:ind w:left="360" w:firstLine="0" w:firstLineChars="0"/>
                    <w:jc w:val="left"/>
                    <w:rPr>
                      <w:sz w:val="21"/>
                      <w:szCs w:val="21"/>
                    </w:rPr>
                  </w:pPr>
                  <w:r>
                    <w:rPr>
                      <w:sz w:val="21"/>
                      <w:szCs w:val="21"/>
                    </w:rPr>
                    <w:t>机箱插满驱动板卡，以下功能测试，所有功能须正常：</w:t>
                  </w:r>
                </w:p>
                <w:p w14:paraId="0B6F087E">
                  <w:pPr>
                    <w:pStyle w:val="5"/>
                    <w:numPr>
                      <w:ilvl w:val="0"/>
                      <w:numId w:val="11"/>
                    </w:numPr>
                    <w:tabs>
                      <w:tab w:val="left" w:pos="6915"/>
                    </w:tabs>
                    <w:ind w:firstLineChars="0"/>
                    <w:jc w:val="left"/>
                    <w:rPr>
                      <w:sz w:val="21"/>
                      <w:szCs w:val="21"/>
                    </w:rPr>
                  </w:pPr>
                  <w:r>
                    <w:rPr>
                      <w:sz w:val="21"/>
                      <w:szCs w:val="21"/>
                    </w:rPr>
                    <w:t>基本运动功能，8轴2相/5相电机的相对运动、绝对运动、JOG运动、开关回零、index回零；</w:t>
                  </w:r>
                </w:p>
                <w:p w14:paraId="17FB30F4">
                  <w:pPr>
                    <w:pStyle w:val="5"/>
                    <w:numPr>
                      <w:ilvl w:val="0"/>
                      <w:numId w:val="11"/>
                    </w:numPr>
                    <w:tabs>
                      <w:tab w:val="left" w:pos="6915"/>
                    </w:tabs>
                    <w:ind w:firstLineChars="0"/>
                    <w:jc w:val="left"/>
                    <w:rPr>
                      <w:sz w:val="21"/>
                      <w:szCs w:val="21"/>
                    </w:rPr>
                  </w:pPr>
                  <w:r>
                    <w:rPr>
                      <w:sz w:val="21"/>
                      <w:szCs w:val="21"/>
                    </w:rPr>
                    <w:t>软件限位保护功能正常</w:t>
                  </w:r>
                </w:p>
                <w:p w14:paraId="5F78300F">
                  <w:pPr>
                    <w:pStyle w:val="5"/>
                    <w:numPr>
                      <w:ilvl w:val="0"/>
                      <w:numId w:val="11"/>
                    </w:numPr>
                    <w:tabs>
                      <w:tab w:val="left" w:pos="6915"/>
                    </w:tabs>
                    <w:ind w:firstLineChars="0"/>
                    <w:jc w:val="left"/>
                    <w:rPr>
                      <w:sz w:val="21"/>
                      <w:szCs w:val="21"/>
                    </w:rPr>
                  </w:pPr>
                  <w:r>
                    <w:rPr>
                      <w:sz w:val="21"/>
                      <w:szCs w:val="21"/>
                    </w:rPr>
                    <w:t>位置捕捉</w:t>
                  </w:r>
                  <w:r>
                    <w:rPr>
                      <w:bCs/>
                      <w:sz w:val="21"/>
                      <w:szCs w:val="21"/>
                    </w:rPr>
                    <w:t>PEG功能</w:t>
                  </w:r>
                </w:p>
              </w:tc>
            </w:tr>
            <w:tr w14:paraId="3320B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0" w:type="dxa"/>
                  <w:vAlign w:val="top"/>
                </w:tcPr>
                <w:p w14:paraId="6D8EC791">
                  <w:pPr>
                    <w:pStyle w:val="5"/>
                    <w:numPr>
                      <w:ilvl w:val="0"/>
                      <w:numId w:val="0"/>
                    </w:numPr>
                    <w:tabs>
                      <w:tab w:val="left" w:pos="6915"/>
                    </w:tabs>
                    <w:ind w:leftChars="0"/>
                    <w:jc w:val="left"/>
                    <w:rPr>
                      <w:sz w:val="21"/>
                      <w:szCs w:val="21"/>
                    </w:rPr>
                  </w:pPr>
                  <w:r>
                    <w:rPr>
                      <w:sz w:val="21"/>
                      <w:szCs w:val="21"/>
                    </w:rPr>
                    <w:t>运动控制模块</w:t>
                  </w:r>
                </w:p>
              </w:tc>
              <w:tc>
                <w:tcPr>
                  <w:tcW w:w="4050" w:type="dxa"/>
                  <w:vAlign w:val="top"/>
                </w:tcPr>
                <w:p w14:paraId="204943C0">
                  <w:pPr>
                    <w:pStyle w:val="5"/>
                    <w:numPr>
                      <w:ilvl w:val="0"/>
                      <w:numId w:val="12"/>
                    </w:numPr>
                    <w:tabs>
                      <w:tab w:val="left" w:pos="6915"/>
                    </w:tabs>
                    <w:ind w:firstLineChars="0"/>
                    <w:jc w:val="left"/>
                    <w:rPr>
                      <w:sz w:val="21"/>
                      <w:szCs w:val="21"/>
                    </w:rPr>
                  </w:pPr>
                  <w:r>
                    <w:rPr>
                      <w:sz w:val="21"/>
                      <w:szCs w:val="21"/>
                    </w:rPr>
                    <w:t>控制器工作电压 24V</w:t>
                  </w:r>
                </w:p>
                <w:p w14:paraId="70885916">
                  <w:pPr>
                    <w:pStyle w:val="5"/>
                    <w:numPr>
                      <w:ilvl w:val="0"/>
                      <w:numId w:val="12"/>
                    </w:numPr>
                    <w:tabs>
                      <w:tab w:val="left" w:pos="6915"/>
                    </w:tabs>
                    <w:ind w:firstLineChars="0"/>
                    <w:jc w:val="left"/>
                    <w:rPr>
                      <w:sz w:val="21"/>
                      <w:szCs w:val="21"/>
                    </w:rPr>
                  </w:pPr>
                  <w:r>
                    <w:rPr>
                      <w:sz w:val="21"/>
                      <w:szCs w:val="21"/>
                    </w:rPr>
                    <w:t>CPU主频≥1.4 GHz</w:t>
                  </w:r>
                </w:p>
                <w:p w14:paraId="785165A4">
                  <w:pPr>
                    <w:pStyle w:val="5"/>
                    <w:numPr>
                      <w:ilvl w:val="0"/>
                      <w:numId w:val="12"/>
                    </w:numPr>
                    <w:tabs>
                      <w:tab w:val="left" w:pos="6915"/>
                    </w:tabs>
                    <w:ind w:firstLineChars="0"/>
                    <w:jc w:val="left"/>
                    <w:rPr>
                      <w:sz w:val="21"/>
                      <w:szCs w:val="21"/>
                    </w:rPr>
                  </w:pPr>
                  <w:r>
                    <w:rPr>
                      <w:sz w:val="21"/>
                      <w:szCs w:val="21"/>
                    </w:rPr>
                    <w:t>运行内存≥8 GB</w:t>
                  </w:r>
                </w:p>
                <w:p w14:paraId="6BEC5E9B">
                  <w:pPr>
                    <w:pStyle w:val="5"/>
                    <w:numPr>
                      <w:ilvl w:val="0"/>
                      <w:numId w:val="12"/>
                    </w:numPr>
                    <w:tabs>
                      <w:tab w:val="left" w:pos="6915"/>
                    </w:tabs>
                    <w:ind w:firstLineChars="0"/>
                    <w:jc w:val="left"/>
                    <w:rPr>
                      <w:sz w:val="21"/>
                      <w:szCs w:val="21"/>
                    </w:rPr>
                  </w:pPr>
                  <w:r>
                    <w:rPr>
                      <w:sz w:val="21"/>
                      <w:szCs w:val="21"/>
                    </w:rPr>
                    <w:t>存储≥128 GB</w:t>
                  </w:r>
                </w:p>
                <w:p w14:paraId="19564523">
                  <w:pPr>
                    <w:pStyle w:val="5"/>
                    <w:numPr>
                      <w:ilvl w:val="0"/>
                      <w:numId w:val="12"/>
                    </w:numPr>
                    <w:tabs>
                      <w:tab w:val="left" w:pos="6915"/>
                    </w:tabs>
                    <w:ind w:firstLineChars="0"/>
                    <w:jc w:val="left"/>
                    <w:rPr>
                      <w:sz w:val="21"/>
                      <w:szCs w:val="21"/>
                    </w:rPr>
                  </w:pPr>
                  <w:r>
                    <w:rPr>
                      <w:sz w:val="21"/>
                      <w:szCs w:val="21"/>
                    </w:rPr>
                    <w:t>以太网口≥4</w:t>
                  </w:r>
                </w:p>
                <w:p w14:paraId="33207110">
                  <w:pPr>
                    <w:pStyle w:val="5"/>
                    <w:numPr>
                      <w:ilvl w:val="0"/>
                      <w:numId w:val="12"/>
                    </w:numPr>
                    <w:tabs>
                      <w:tab w:val="left" w:pos="6915"/>
                    </w:tabs>
                    <w:ind w:firstLineChars="0"/>
                    <w:jc w:val="left"/>
                    <w:rPr>
                      <w:sz w:val="21"/>
                      <w:szCs w:val="21"/>
                    </w:rPr>
                  </w:pPr>
                  <w:r>
                    <w:rPr>
                      <w:sz w:val="21"/>
                      <w:szCs w:val="21"/>
                    </w:rPr>
                    <w:t>USB口≥2</w:t>
                  </w:r>
                </w:p>
                <w:p w14:paraId="3F878263">
                  <w:pPr>
                    <w:pStyle w:val="5"/>
                    <w:numPr>
                      <w:ilvl w:val="0"/>
                      <w:numId w:val="12"/>
                    </w:numPr>
                    <w:tabs>
                      <w:tab w:val="left" w:pos="6915"/>
                    </w:tabs>
                    <w:ind w:firstLineChars="0"/>
                    <w:jc w:val="left"/>
                    <w:rPr>
                      <w:sz w:val="21"/>
                      <w:szCs w:val="21"/>
                    </w:rPr>
                  </w:pPr>
                  <w:r>
                    <w:rPr>
                      <w:sz w:val="21"/>
                      <w:szCs w:val="21"/>
                    </w:rPr>
                    <w:t>HDMI≥1</w:t>
                  </w:r>
                </w:p>
                <w:p w14:paraId="4070B7CA">
                  <w:pPr>
                    <w:pStyle w:val="5"/>
                    <w:numPr>
                      <w:ilvl w:val="0"/>
                      <w:numId w:val="12"/>
                    </w:numPr>
                    <w:tabs>
                      <w:tab w:val="left" w:pos="6915"/>
                    </w:tabs>
                    <w:ind w:firstLineChars="0"/>
                    <w:jc w:val="left"/>
                    <w:rPr>
                      <w:sz w:val="21"/>
                      <w:szCs w:val="21"/>
                    </w:rPr>
                  </w:pPr>
                  <w:r>
                    <w:rPr>
                      <w:sz w:val="21"/>
                      <w:szCs w:val="21"/>
                    </w:rPr>
                    <w:t>RS232/RS485/RS422≥1</w:t>
                  </w:r>
                </w:p>
                <w:p w14:paraId="7384B13B">
                  <w:pPr>
                    <w:pStyle w:val="5"/>
                    <w:numPr>
                      <w:ilvl w:val="0"/>
                      <w:numId w:val="12"/>
                    </w:numPr>
                    <w:tabs>
                      <w:tab w:val="left" w:pos="6915"/>
                    </w:tabs>
                    <w:ind w:firstLineChars="0"/>
                    <w:jc w:val="left"/>
                    <w:rPr>
                      <w:sz w:val="21"/>
                      <w:szCs w:val="21"/>
                    </w:rPr>
                  </w:pPr>
                  <w:r>
                    <w:rPr>
                      <w:sz w:val="21"/>
                      <w:szCs w:val="21"/>
                    </w:rPr>
                    <w:t>编程语言支持</w:t>
                  </w:r>
                  <w:r>
                    <w:rPr>
                      <w:bCs/>
                      <w:sz w:val="21"/>
                      <w:szCs w:val="21"/>
                    </w:rPr>
                    <w:t>IEC61131-3（LD/DT/CFC/SFC）</w:t>
                  </w:r>
                </w:p>
                <w:p w14:paraId="60411272">
                  <w:pPr>
                    <w:pStyle w:val="5"/>
                    <w:numPr>
                      <w:ilvl w:val="0"/>
                      <w:numId w:val="12"/>
                    </w:numPr>
                    <w:tabs>
                      <w:tab w:val="left" w:pos="6915"/>
                    </w:tabs>
                    <w:ind w:firstLineChars="0"/>
                    <w:jc w:val="left"/>
                    <w:rPr>
                      <w:sz w:val="21"/>
                      <w:szCs w:val="21"/>
                    </w:rPr>
                  </w:pPr>
                  <w:r>
                    <w:rPr>
                      <w:bCs/>
                      <w:sz w:val="21"/>
                      <w:szCs w:val="21"/>
                    </w:rPr>
                    <w:t>提供MODBUS-TCP、OPCUA、USB、串口通信方式</w:t>
                  </w:r>
                </w:p>
              </w:tc>
            </w:tr>
            <w:tr w14:paraId="4D377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0" w:type="dxa"/>
                  <w:vAlign w:val="top"/>
                </w:tcPr>
                <w:p w14:paraId="230582A9">
                  <w:pPr>
                    <w:pStyle w:val="5"/>
                    <w:numPr>
                      <w:ilvl w:val="0"/>
                      <w:numId w:val="0"/>
                    </w:numPr>
                    <w:tabs>
                      <w:tab w:val="left" w:pos="6915"/>
                    </w:tabs>
                    <w:ind w:leftChars="0"/>
                    <w:jc w:val="left"/>
                    <w:rPr>
                      <w:sz w:val="21"/>
                      <w:szCs w:val="21"/>
                    </w:rPr>
                  </w:pPr>
                  <w:r>
                    <w:rPr>
                      <w:sz w:val="21"/>
                      <w:szCs w:val="21"/>
                    </w:rPr>
                    <w:t>应用例程</w:t>
                  </w:r>
                </w:p>
              </w:tc>
              <w:tc>
                <w:tcPr>
                  <w:tcW w:w="4050" w:type="dxa"/>
                  <w:vAlign w:val="top"/>
                </w:tcPr>
                <w:p w14:paraId="44D6F0A1">
                  <w:pPr>
                    <w:pStyle w:val="5"/>
                    <w:numPr>
                      <w:ilvl w:val="0"/>
                      <w:numId w:val="13"/>
                    </w:numPr>
                    <w:tabs>
                      <w:tab w:val="left" w:pos="6915"/>
                    </w:tabs>
                    <w:ind w:firstLineChars="0"/>
                    <w:jc w:val="left"/>
                    <w:rPr>
                      <w:sz w:val="21"/>
                      <w:szCs w:val="21"/>
                    </w:rPr>
                  </w:pPr>
                  <w:r>
                    <w:rPr>
                      <w:sz w:val="21"/>
                      <w:szCs w:val="21"/>
                    </w:rPr>
                    <w:t>多轴联动例程</w:t>
                  </w:r>
                </w:p>
                <w:p w14:paraId="74BCCA32">
                  <w:pPr>
                    <w:pStyle w:val="5"/>
                    <w:numPr>
                      <w:ilvl w:val="0"/>
                      <w:numId w:val="13"/>
                    </w:numPr>
                    <w:tabs>
                      <w:tab w:val="left" w:pos="6915"/>
                    </w:tabs>
                    <w:ind w:firstLineChars="0"/>
                    <w:jc w:val="left"/>
                    <w:rPr>
                      <w:sz w:val="21"/>
                      <w:szCs w:val="21"/>
                    </w:rPr>
                  </w:pPr>
                  <w:r>
                    <w:rPr>
                      <w:sz w:val="21"/>
                      <w:szCs w:val="21"/>
                    </w:rPr>
                    <w:t>PEG例程</w:t>
                  </w:r>
                </w:p>
                <w:p w14:paraId="6160F3B2">
                  <w:pPr>
                    <w:pStyle w:val="5"/>
                    <w:numPr>
                      <w:ilvl w:val="0"/>
                      <w:numId w:val="13"/>
                    </w:numPr>
                    <w:tabs>
                      <w:tab w:val="left" w:pos="6915"/>
                    </w:tabs>
                    <w:ind w:firstLineChars="0"/>
                    <w:jc w:val="left"/>
                    <w:rPr>
                      <w:sz w:val="21"/>
                      <w:szCs w:val="21"/>
                    </w:rPr>
                  </w:pPr>
                  <w:r>
                    <w:rPr>
                      <w:sz w:val="21"/>
                      <w:szCs w:val="21"/>
                    </w:rPr>
                    <w:t>位置开环闭环运动例程</w:t>
                  </w:r>
                </w:p>
                <w:p w14:paraId="683E8D15">
                  <w:pPr>
                    <w:pStyle w:val="5"/>
                    <w:numPr>
                      <w:ilvl w:val="0"/>
                      <w:numId w:val="13"/>
                    </w:numPr>
                    <w:tabs>
                      <w:tab w:val="left" w:pos="6915"/>
                    </w:tabs>
                    <w:ind w:firstLineChars="0"/>
                    <w:jc w:val="left"/>
                    <w:rPr>
                      <w:sz w:val="21"/>
                      <w:szCs w:val="21"/>
                    </w:rPr>
                  </w:pPr>
                  <w:r>
                    <w:rPr>
                      <w:sz w:val="21"/>
                      <w:szCs w:val="21"/>
                    </w:rPr>
                    <w:t>EPICS 应用例程</w:t>
                  </w:r>
                </w:p>
              </w:tc>
            </w:tr>
          </w:tbl>
          <w:p w14:paraId="43E8F6A8">
            <w:pPr>
              <w:tabs>
                <w:tab w:val="left" w:pos="6915"/>
              </w:tabs>
              <w:jc w:val="left"/>
              <w:rPr>
                <w:sz w:val="21"/>
                <w:szCs w:val="21"/>
              </w:rPr>
            </w:pPr>
          </w:p>
          <w:p w14:paraId="5B4B5BE1">
            <w:pPr>
              <w:tabs>
                <w:tab w:val="left" w:pos="6915"/>
              </w:tabs>
              <w:spacing w:line="240" w:lineRule="auto"/>
              <w:jc w:val="left"/>
              <w:rPr>
                <w:b/>
                <w:sz w:val="21"/>
                <w:szCs w:val="21"/>
              </w:rPr>
            </w:pPr>
            <w:r>
              <w:rPr>
                <w:b/>
                <w:sz w:val="21"/>
                <w:szCs w:val="21"/>
              </w:rPr>
              <w:t>阶段性检查要求：</w:t>
            </w:r>
          </w:p>
          <w:p w14:paraId="7510A033">
            <w:pPr>
              <w:spacing w:line="240" w:lineRule="auto"/>
              <w:jc w:val="left"/>
              <w:rPr>
                <w:bCs/>
                <w:sz w:val="21"/>
                <w:szCs w:val="21"/>
              </w:rPr>
            </w:pPr>
            <w:r>
              <w:rPr>
                <w:bCs/>
                <w:sz w:val="21"/>
                <w:szCs w:val="21"/>
              </w:rPr>
              <w:t xml:space="preserve">（1）出厂测试阶段：供应商完成全部生产任务后通知采购方进行出厂测试，以合同指标为依据，按采购人审核批准的出厂测试大纲进行测试，出厂测试合格后可发货，并附必要的技术资料。 </w:t>
            </w:r>
          </w:p>
          <w:p w14:paraId="19DEC016">
            <w:pPr>
              <w:spacing w:line="240" w:lineRule="auto"/>
              <w:jc w:val="left"/>
              <w:rPr>
                <w:bCs/>
                <w:sz w:val="21"/>
                <w:szCs w:val="21"/>
              </w:rPr>
            </w:pPr>
            <w:r>
              <w:rPr>
                <w:bCs/>
                <w:sz w:val="21"/>
                <w:szCs w:val="21"/>
              </w:rPr>
              <w:t>（2）现场测试验收阶段：货到采购人现场后，供应商须按合同要求完成后续工作，按采购人审核批准的现场测试大纲通过测试，提交竣工技术资料，完成验收。</w:t>
            </w:r>
          </w:p>
          <w:p w14:paraId="38D5FA5E">
            <w:pPr>
              <w:tabs>
                <w:tab w:val="left" w:pos="6915"/>
              </w:tabs>
              <w:spacing w:line="240" w:lineRule="auto"/>
              <w:jc w:val="left"/>
              <w:rPr>
                <w:rFonts w:hint="eastAsia" w:ascii="宋体" w:hAnsi="宋体" w:eastAsia="宋体"/>
                <w:b/>
                <w:sz w:val="21"/>
                <w:szCs w:val="21"/>
                <w:lang w:eastAsia="zh-CN"/>
              </w:rPr>
            </w:pPr>
            <w:r>
              <w:rPr>
                <w:rFonts w:ascii="宋体" w:hAnsi="宋体"/>
                <w:b/>
                <w:sz w:val="21"/>
                <w:szCs w:val="21"/>
              </w:rPr>
              <w:t>保修及售后服务：</w:t>
            </w:r>
            <w:r>
              <w:rPr>
                <w:rFonts w:hint="eastAsia" w:ascii="宋体" w:hAnsi="宋体" w:eastAsia="宋体" w:cs="宋体"/>
                <w:kern w:val="0"/>
                <w:sz w:val="21"/>
                <w:szCs w:val="21"/>
              </w:rPr>
              <w:t>3年</w:t>
            </w:r>
            <w:r>
              <w:rPr>
                <w:rFonts w:hint="eastAsia" w:ascii="宋体" w:hAnsi="宋体" w:eastAsia="宋体" w:cs="宋体"/>
                <w:kern w:val="0"/>
                <w:sz w:val="21"/>
                <w:szCs w:val="21"/>
                <w:lang w:eastAsia="zh-CN"/>
              </w:rPr>
              <w:t>。</w:t>
            </w:r>
          </w:p>
          <w:p w14:paraId="2AD16EC8">
            <w:pPr>
              <w:tabs>
                <w:tab w:val="left" w:pos="6915"/>
              </w:tabs>
              <w:jc w:val="left"/>
              <w:rPr>
                <w:rFonts w:hint="eastAsia" w:ascii="宋体" w:hAnsi="宋体" w:eastAsia="宋体" w:cs="宋体"/>
                <w:bCs/>
                <w:szCs w:val="21"/>
              </w:rPr>
            </w:pPr>
          </w:p>
        </w:tc>
        <w:tc>
          <w:tcPr>
            <w:tcW w:w="1175" w:type="dxa"/>
            <w:vAlign w:val="center"/>
          </w:tcPr>
          <w:p w14:paraId="324B1D27">
            <w:pPr>
              <w:spacing w:line="240" w:lineRule="atLeast"/>
              <w:jc w:val="center"/>
              <w:rPr>
                <w:rFonts w:hint="eastAsia" w:ascii="宋体" w:hAnsi="宋体" w:eastAsia="宋体" w:cs="宋体"/>
              </w:rPr>
            </w:pPr>
          </w:p>
        </w:tc>
        <w:tc>
          <w:tcPr>
            <w:tcW w:w="892" w:type="dxa"/>
            <w:vAlign w:val="center"/>
          </w:tcPr>
          <w:p w14:paraId="06AA2CA0">
            <w:pPr>
              <w:spacing w:line="240" w:lineRule="atLeast"/>
              <w:jc w:val="center"/>
              <w:rPr>
                <w:rFonts w:hint="eastAsia" w:ascii="宋体" w:hAnsi="宋体" w:eastAsia="宋体" w:cs="宋体"/>
              </w:rPr>
            </w:pPr>
          </w:p>
        </w:tc>
      </w:tr>
    </w:tbl>
    <w:p w14:paraId="0DED7F3B">
      <w:pPr>
        <w:ind w:right="840"/>
        <w:rPr>
          <w:rFonts w:hint="eastAsia" w:ascii="等线" w:hAnsi="等线" w:eastAsia="等线" w:cs="等线"/>
          <w:sz w:val="24"/>
        </w:rPr>
      </w:pPr>
    </w:p>
    <w:p w14:paraId="6B36AD4F">
      <w:pPr>
        <w:ind w:right="840" w:firstLine="5040" w:firstLineChars="2100"/>
        <w:rPr>
          <w:rFonts w:hint="eastAsia" w:ascii="宋体" w:hAnsi="宋体" w:eastAsia="宋体" w:cs="宋体"/>
          <w:sz w:val="24"/>
        </w:rPr>
      </w:pPr>
      <w:r>
        <w:rPr>
          <w:rFonts w:hint="eastAsia" w:ascii="宋体" w:hAnsi="宋体" w:eastAsia="宋体" w:cs="宋体"/>
          <w:sz w:val="24"/>
        </w:rPr>
        <w:t>公司名称（盖章）：</w:t>
      </w:r>
    </w:p>
    <w:p w14:paraId="2BA3965A">
      <w:pPr>
        <w:ind w:right="840"/>
        <w:jc w:val="center"/>
        <w:rPr>
          <w:rFonts w:hint="eastAsia" w:ascii="宋体" w:hAnsi="宋体" w:eastAsia="宋体" w:cs="宋体"/>
          <w:sz w:val="24"/>
        </w:rPr>
      </w:pPr>
      <w:r>
        <w:rPr>
          <w:rFonts w:hint="eastAsia" w:ascii="宋体" w:hAnsi="宋体" w:eastAsia="宋体" w:cs="宋体"/>
          <w:sz w:val="24"/>
        </w:rPr>
        <w:t xml:space="preserve">                             日期：</w:t>
      </w:r>
    </w:p>
    <w:p w14:paraId="176D22B6"/>
    <w:p w14:paraId="549A8054"/>
    <w:p w14:paraId="56322477"/>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D14AB4"/>
    <w:multiLevelType w:val="multilevel"/>
    <w:tmpl w:val="0DD14AB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3386DF4"/>
    <w:multiLevelType w:val="multilevel"/>
    <w:tmpl w:val="13386DF4"/>
    <w:lvl w:ilvl="0" w:tentative="0">
      <w:start w:val="1"/>
      <w:numFmt w:val="decimal"/>
      <w:lvlText w:val="%1)"/>
      <w:lvlJc w:val="left"/>
      <w:pPr>
        <w:tabs>
          <w:tab w:val="left" w:pos="-420"/>
        </w:tabs>
        <w:ind w:left="709" w:hanging="420"/>
      </w:pPr>
    </w:lvl>
    <w:lvl w:ilvl="1" w:tentative="0">
      <w:start w:val="1"/>
      <w:numFmt w:val="lowerLetter"/>
      <w:lvlText w:val="%2)"/>
      <w:lvlJc w:val="left"/>
      <w:pPr>
        <w:tabs>
          <w:tab w:val="left" w:pos="-420"/>
        </w:tabs>
        <w:ind w:left="1129" w:hanging="420"/>
      </w:pPr>
    </w:lvl>
    <w:lvl w:ilvl="2" w:tentative="0">
      <w:start w:val="1"/>
      <w:numFmt w:val="lowerRoman"/>
      <w:lvlText w:val="%3."/>
      <w:lvlJc w:val="right"/>
      <w:pPr>
        <w:tabs>
          <w:tab w:val="left" w:pos="-420"/>
        </w:tabs>
        <w:ind w:left="1549" w:hanging="420"/>
      </w:pPr>
    </w:lvl>
    <w:lvl w:ilvl="3" w:tentative="0">
      <w:start w:val="1"/>
      <w:numFmt w:val="decimal"/>
      <w:lvlText w:val="%4."/>
      <w:lvlJc w:val="left"/>
      <w:pPr>
        <w:tabs>
          <w:tab w:val="left" w:pos="-420"/>
        </w:tabs>
        <w:ind w:left="1969" w:hanging="420"/>
      </w:pPr>
    </w:lvl>
    <w:lvl w:ilvl="4" w:tentative="0">
      <w:start w:val="1"/>
      <w:numFmt w:val="lowerLetter"/>
      <w:lvlText w:val="%5)"/>
      <w:lvlJc w:val="left"/>
      <w:pPr>
        <w:tabs>
          <w:tab w:val="left" w:pos="-420"/>
        </w:tabs>
        <w:ind w:left="2389" w:hanging="420"/>
      </w:pPr>
    </w:lvl>
    <w:lvl w:ilvl="5" w:tentative="0">
      <w:start w:val="1"/>
      <w:numFmt w:val="lowerRoman"/>
      <w:lvlText w:val="%6."/>
      <w:lvlJc w:val="right"/>
      <w:pPr>
        <w:tabs>
          <w:tab w:val="left" w:pos="-420"/>
        </w:tabs>
        <w:ind w:left="2809" w:hanging="420"/>
      </w:pPr>
    </w:lvl>
    <w:lvl w:ilvl="6" w:tentative="0">
      <w:start w:val="1"/>
      <w:numFmt w:val="decimal"/>
      <w:lvlText w:val="%7."/>
      <w:lvlJc w:val="left"/>
      <w:pPr>
        <w:tabs>
          <w:tab w:val="left" w:pos="-420"/>
        </w:tabs>
        <w:ind w:left="3229" w:hanging="420"/>
      </w:pPr>
    </w:lvl>
    <w:lvl w:ilvl="7" w:tentative="0">
      <w:start w:val="1"/>
      <w:numFmt w:val="lowerLetter"/>
      <w:lvlText w:val="%8)"/>
      <w:lvlJc w:val="left"/>
      <w:pPr>
        <w:tabs>
          <w:tab w:val="left" w:pos="-420"/>
        </w:tabs>
        <w:ind w:left="3649" w:hanging="420"/>
      </w:pPr>
    </w:lvl>
    <w:lvl w:ilvl="8" w:tentative="0">
      <w:start w:val="1"/>
      <w:numFmt w:val="lowerRoman"/>
      <w:lvlText w:val="%9."/>
      <w:lvlJc w:val="right"/>
      <w:pPr>
        <w:tabs>
          <w:tab w:val="left" w:pos="-420"/>
        </w:tabs>
        <w:ind w:left="4069" w:hanging="420"/>
      </w:pPr>
    </w:lvl>
  </w:abstractNum>
  <w:abstractNum w:abstractNumId="2">
    <w:nsid w:val="14066AA5"/>
    <w:multiLevelType w:val="multilevel"/>
    <w:tmpl w:val="14066AA5"/>
    <w:lvl w:ilvl="0" w:tentative="0">
      <w:start w:val="1"/>
      <w:numFmt w:val="decimal"/>
      <w:lvlText w:val="%1)"/>
      <w:lvlJc w:val="left"/>
      <w:pPr>
        <w:tabs>
          <w:tab w:val="left" w:pos="-420"/>
        </w:tabs>
        <w:ind w:left="709" w:hanging="420"/>
      </w:pPr>
    </w:lvl>
    <w:lvl w:ilvl="1" w:tentative="0">
      <w:start w:val="1"/>
      <w:numFmt w:val="lowerLetter"/>
      <w:lvlText w:val="%2)"/>
      <w:lvlJc w:val="left"/>
      <w:pPr>
        <w:tabs>
          <w:tab w:val="left" w:pos="-420"/>
        </w:tabs>
        <w:ind w:left="1129" w:hanging="420"/>
      </w:pPr>
    </w:lvl>
    <w:lvl w:ilvl="2" w:tentative="0">
      <w:start w:val="1"/>
      <w:numFmt w:val="lowerRoman"/>
      <w:lvlText w:val="%3."/>
      <w:lvlJc w:val="right"/>
      <w:pPr>
        <w:tabs>
          <w:tab w:val="left" w:pos="-420"/>
        </w:tabs>
        <w:ind w:left="1549" w:hanging="420"/>
      </w:pPr>
    </w:lvl>
    <w:lvl w:ilvl="3" w:tentative="0">
      <w:start w:val="1"/>
      <w:numFmt w:val="decimal"/>
      <w:lvlText w:val="%4."/>
      <w:lvlJc w:val="left"/>
      <w:pPr>
        <w:tabs>
          <w:tab w:val="left" w:pos="-420"/>
        </w:tabs>
        <w:ind w:left="1969" w:hanging="420"/>
      </w:pPr>
    </w:lvl>
    <w:lvl w:ilvl="4" w:tentative="0">
      <w:start w:val="1"/>
      <w:numFmt w:val="lowerLetter"/>
      <w:lvlText w:val="%5)"/>
      <w:lvlJc w:val="left"/>
      <w:pPr>
        <w:tabs>
          <w:tab w:val="left" w:pos="-420"/>
        </w:tabs>
        <w:ind w:left="2389" w:hanging="420"/>
      </w:pPr>
    </w:lvl>
    <w:lvl w:ilvl="5" w:tentative="0">
      <w:start w:val="1"/>
      <w:numFmt w:val="lowerRoman"/>
      <w:lvlText w:val="%6."/>
      <w:lvlJc w:val="right"/>
      <w:pPr>
        <w:tabs>
          <w:tab w:val="left" w:pos="-420"/>
        </w:tabs>
        <w:ind w:left="2809" w:hanging="420"/>
      </w:pPr>
    </w:lvl>
    <w:lvl w:ilvl="6" w:tentative="0">
      <w:start w:val="1"/>
      <w:numFmt w:val="decimal"/>
      <w:lvlText w:val="%7."/>
      <w:lvlJc w:val="left"/>
      <w:pPr>
        <w:tabs>
          <w:tab w:val="left" w:pos="-420"/>
        </w:tabs>
        <w:ind w:left="3229" w:hanging="420"/>
      </w:pPr>
    </w:lvl>
    <w:lvl w:ilvl="7" w:tentative="0">
      <w:start w:val="1"/>
      <w:numFmt w:val="lowerLetter"/>
      <w:lvlText w:val="%8)"/>
      <w:lvlJc w:val="left"/>
      <w:pPr>
        <w:tabs>
          <w:tab w:val="left" w:pos="-420"/>
        </w:tabs>
        <w:ind w:left="3649" w:hanging="420"/>
      </w:pPr>
    </w:lvl>
    <w:lvl w:ilvl="8" w:tentative="0">
      <w:start w:val="1"/>
      <w:numFmt w:val="lowerRoman"/>
      <w:lvlText w:val="%9."/>
      <w:lvlJc w:val="right"/>
      <w:pPr>
        <w:tabs>
          <w:tab w:val="left" w:pos="-420"/>
        </w:tabs>
        <w:ind w:left="4069" w:hanging="420"/>
      </w:pPr>
    </w:lvl>
  </w:abstractNum>
  <w:abstractNum w:abstractNumId="3">
    <w:nsid w:val="1F9D0020"/>
    <w:multiLevelType w:val="multilevel"/>
    <w:tmpl w:val="1F9D002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C310B19"/>
    <w:multiLevelType w:val="multilevel"/>
    <w:tmpl w:val="2C310B19"/>
    <w:lvl w:ilvl="0" w:tentative="0">
      <w:start w:val="1"/>
      <w:numFmt w:val="decimal"/>
      <w:lvlText w:val="%1)"/>
      <w:lvlJc w:val="left"/>
      <w:pPr>
        <w:tabs>
          <w:tab w:val="left" w:pos="-420"/>
        </w:tabs>
        <w:ind w:left="709" w:hanging="420"/>
      </w:pPr>
    </w:lvl>
    <w:lvl w:ilvl="1" w:tentative="0">
      <w:start w:val="1"/>
      <w:numFmt w:val="lowerLetter"/>
      <w:lvlText w:val="%2)"/>
      <w:lvlJc w:val="left"/>
      <w:pPr>
        <w:tabs>
          <w:tab w:val="left" w:pos="-420"/>
        </w:tabs>
        <w:ind w:left="1129" w:hanging="420"/>
      </w:pPr>
    </w:lvl>
    <w:lvl w:ilvl="2" w:tentative="0">
      <w:start w:val="1"/>
      <w:numFmt w:val="lowerRoman"/>
      <w:lvlText w:val="%3."/>
      <w:lvlJc w:val="right"/>
      <w:pPr>
        <w:tabs>
          <w:tab w:val="left" w:pos="-420"/>
        </w:tabs>
        <w:ind w:left="1549" w:hanging="420"/>
      </w:pPr>
    </w:lvl>
    <w:lvl w:ilvl="3" w:tentative="0">
      <w:start w:val="1"/>
      <w:numFmt w:val="decimal"/>
      <w:lvlText w:val="%4."/>
      <w:lvlJc w:val="left"/>
      <w:pPr>
        <w:tabs>
          <w:tab w:val="left" w:pos="-420"/>
        </w:tabs>
        <w:ind w:left="1969" w:hanging="420"/>
      </w:pPr>
    </w:lvl>
    <w:lvl w:ilvl="4" w:tentative="0">
      <w:start w:val="1"/>
      <w:numFmt w:val="lowerLetter"/>
      <w:lvlText w:val="%5)"/>
      <w:lvlJc w:val="left"/>
      <w:pPr>
        <w:tabs>
          <w:tab w:val="left" w:pos="-420"/>
        </w:tabs>
        <w:ind w:left="2389" w:hanging="420"/>
      </w:pPr>
    </w:lvl>
    <w:lvl w:ilvl="5" w:tentative="0">
      <w:start w:val="1"/>
      <w:numFmt w:val="lowerRoman"/>
      <w:lvlText w:val="%6."/>
      <w:lvlJc w:val="right"/>
      <w:pPr>
        <w:tabs>
          <w:tab w:val="left" w:pos="-420"/>
        </w:tabs>
        <w:ind w:left="2809" w:hanging="420"/>
      </w:pPr>
    </w:lvl>
    <w:lvl w:ilvl="6" w:tentative="0">
      <w:start w:val="1"/>
      <w:numFmt w:val="decimal"/>
      <w:lvlText w:val="%7."/>
      <w:lvlJc w:val="left"/>
      <w:pPr>
        <w:tabs>
          <w:tab w:val="left" w:pos="-420"/>
        </w:tabs>
        <w:ind w:left="3229" w:hanging="420"/>
      </w:pPr>
    </w:lvl>
    <w:lvl w:ilvl="7" w:tentative="0">
      <w:start w:val="1"/>
      <w:numFmt w:val="lowerLetter"/>
      <w:lvlText w:val="%8)"/>
      <w:lvlJc w:val="left"/>
      <w:pPr>
        <w:tabs>
          <w:tab w:val="left" w:pos="-420"/>
        </w:tabs>
        <w:ind w:left="3649" w:hanging="420"/>
      </w:pPr>
    </w:lvl>
    <w:lvl w:ilvl="8" w:tentative="0">
      <w:start w:val="1"/>
      <w:numFmt w:val="lowerRoman"/>
      <w:lvlText w:val="%9."/>
      <w:lvlJc w:val="right"/>
      <w:pPr>
        <w:tabs>
          <w:tab w:val="left" w:pos="-420"/>
        </w:tabs>
        <w:ind w:left="4069" w:hanging="420"/>
      </w:pPr>
    </w:lvl>
  </w:abstractNum>
  <w:abstractNum w:abstractNumId="5">
    <w:nsid w:val="2EC33DB7"/>
    <w:multiLevelType w:val="multilevel"/>
    <w:tmpl w:val="2EC33DB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31E30D88"/>
    <w:multiLevelType w:val="multilevel"/>
    <w:tmpl w:val="31E30D8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366B6615"/>
    <w:multiLevelType w:val="multilevel"/>
    <w:tmpl w:val="366B661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4FBE023B"/>
    <w:multiLevelType w:val="multilevel"/>
    <w:tmpl w:val="4FBE023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50911A2E"/>
    <w:multiLevelType w:val="multilevel"/>
    <w:tmpl w:val="50911A2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653E439A"/>
    <w:multiLevelType w:val="multilevel"/>
    <w:tmpl w:val="653E439A"/>
    <w:lvl w:ilvl="0" w:tentative="0">
      <w:start w:val="1"/>
      <w:numFmt w:val="decimal"/>
      <w:lvlText w:val="%1)"/>
      <w:lvlJc w:val="left"/>
      <w:pPr>
        <w:tabs>
          <w:tab w:val="left" w:pos="-420"/>
        </w:tabs>
        <w:ind w:left="709" w:hanging="420"/>
      </w:pPr>
    </w:lvl>
    <w:lvl w:ilvl="1" w:tentative="0">
      <w:start w:val="1"/>
      <w:numFmt w:val="lowerLetter"/>
      <w:lvlText w:val="%2)"/>
      <w:lvlJc w:val="left"/>
      <w:pPr>
        <w:tabs>
          <w:tab w:val="left" w:pos="-420"/>
        </w:tabs>
        <w:ind w:left="1129" w:hanging="420"/>
      </w:pPr>
    </w:lvl>
    <w:lvl w:ilvl="2" w:tentative="0">
      <w:start w:val="1"/>
      <w:numFmt w:val="lowerRoman"/>
      <w:lvlText w:val="%3."/>
      <w:lvlJc w:val="right"/>
      <w:pPr>
        <w:tabs>
          <w:tab w:val="left" w:pos="-420"/>
        </w:tabs>
        <w:ind w:left="1549" w:hanging="420"/>
      </w:pPr>
    </w:lvl>
    <w:lvl w:ilvl="3" w:tentative="0">
      <w:start w:val="1"/>
      <w:numFmt w:val="decimal"/>
      <w:lvlText w:val="%4."/>
      <w:lvlJc w:val="left"/>
      <w:pPr>
        <w:tabs>
          <w:tab w:val="left" w:pos="-420"/>
        </w:tabs>
        <w:ind w:left="1969" w:hanging="420"/>
      </w:pPr>
    </w:lvl>
    <w:lvl w:ilvl="4" w:tentative="0">
      <w:start w:val="1"/>
      <w:numFmt w:val="lowerLetter"/>
      <w:lvlText w:val="%5)"/>
      <w:lvlJc w:val="left"/>
      <w:pPr>
        <w:tabs>
          <w:tab w:val="left" w:pos="-420"/>
        </w:tabs>
        <w:ind w:left="2389" w:hanging="420"/>
      </w:pPr>
    </w:lvl>
    <w:lvl w:ilvl="5" w:tentative="0">
      <w:start w:val="1"/>
      <w:numFmt w:val="lowerRoman"/>
      <w:lvlText w:val="%6."/>
      <w:lvlJc w:val="right"/>
      <w:pPr>
        <w:tabs>
          <w:tab w:val="left" w:pos="-420"/>
        </w:tabs>
        <w:ind w:left="2809" w:hanging="420"/>
      </w:pPr>
    </w:lvl>
    <w:lvl w:ilvl="6" w:tentative="0">
      <w:start w:val="1"/>
      <w:numFmt w:val="decimal"/>
      <w:lvlText w:val="%7."/>
      <w:lvlJc w:val="left"/>
      <w:pPr>
        <w:tabs>
          <w:tab w:val="left" w:pos="-420"/>
        </w:tabs>
        <w:ind w:left="3229" w:hanging="420"/>
      </w:pPr>
    </w:lvl>
    <w:lvl w:ilvl="7" w:tentative="0">
      <w:start w:val="1"/>
      <w:numFmt w:val="lowerLetter"/>
      <w:lvlText w:val="%8)"/>
      <w:lvlJc w:val="left"/>
      <w:pPr>
        <w:tabs>
          <w:tab w:val="left" w:pos="-420"/>
        </w:tabs>
        <w:ind w:left="3649" w:hanging="420"/>
      </w:pPr>
    </w:lvl>
    <w:lvl w:ilvl="8" w:tentative="0">
      <w:start w:val="1"/>
      <w:numFmt w:val="lowerRoman"/>
      <w:lvlText w:val="%9."/>
      <w:lvlJc w:val="right"/>
      <w:pPr>
        <w:tabs>
          <w:tab w:val="left" w:pos="-420"/>
        </w:tabs>
        <w:ind w:left="4069" w:hanging="420"/>
      </w:pPr>
    </w:lvl>
  </w:abstractNum>
  <w:abstractNum w:abstractNumId="11">
    <w:nsid w:val="78440DC6"/>
    <w:multiLevelType w:val="multilevel"/>
    <w:tmpl w:val="78440DC6"/>
    <w:lvl w:ilvl="0" w:tentative="0">
      <w:start w:val="1"/>
      <w:numFmt w:val="decimal"/>
      <w:lvlText w:val="%1)"/>
      <w:lvlJc w:val="left"/>
      <w:pPr>
        <w:tabs>
          <w:tab w:val="left" w:pos="-420"/>
        </w:tabs>
        <w:ind w:left="709" w:hanging="420"/>
      </w:pPr>
    </w:lvl>
    <w:lvl w:ilvl="1" w:tentative="0">
      <w:start w:val="1"/>
      <w:numFmt w:val="lowerLetter"/>
      <w:lvlText w:val="%2)"/>
      <w:lvlJc w:val="left"/>
      <w:pPr>
        <w:tabs>
          <w:tab w:val="left" w:pos="-420"/>
        </w:tabs>
        <w:ind w:left="1129" w:hanging="420"/>
      </w:pPr>
    </w:lvl>
    <w:lvl w:ilvl="2" w:tentative="0">
      <w:start w:val="1"/>
      <w:numFmt w:val="lowerRoman"/>
      <w:lvlText w:val="%3."/>
      <w:lvlJc w:val="right"/>
      <w:pPr>
        <w:tabs>
          <w:tab w:val="left" w:pos="-420"/>
        </w:tabs>
        <w:ind w:left="1549" w:hanging="420"/>
      </w:pPr>
    </w:lvl>
    <w:lvl w:ilvl="3" w:tentative="0">
      <w:start w:val="1"/>
      <w:numFmt w:val="decimal"/>
      <w:lvlText w:val="%4."/>
      <w:lvlJc w:val="left"/>
      <w:pPr>
        <w:tabs>
          <w:tab w:val="left" w:pos="-420"/>
        </w:tabs>
        <w:ind w:left="1969" w:hanging="420"/>
      </w:pPr>
    </w:lvl>
    <w:lvl w:ilvl="4" w:tentative="0">
      <w:start w:val="1"/>
      <w:numFmt w:val="lowerLetter"/>
      <w:lvlText w:val="%5)"/>
      <w:lvlJc w:val="left"/>
      <w:pPr>
        <w:tabs>
          <w:tab w:val="left" w:pos="-420"/>
        </w:tabs>
        <w:ind w:left="2389" w:hanging="420"/>
      </w:pPr>
    </w:lvl>
    <w:lvl w:ilvl="5" w:tentative="0">
      <w:start w:val="1"/>
      <w:numFmt w:val="lowerRoman"/>
      <w:lvlText w:val="%6."/>
      <w:lvlJc w:val="right"/>
      <w:pPr>
        <w:tabs>
          <w:tab w:val="left" w:pos="-420"/>
        </w:tabs>
        <w:ind w:left="2809" w:hanging="420"/>
      </w:pPr>
    </w:lvl>
    <w:lvl w:ilvl="6" w:tentative="0">
      <w:start w:val="1"/>
      <w:numFmt w:val="decimal"/>
      <w:lvlText w:val="%7."/>
      <w:lvlJc w:val="left"/>
      <w:pPr>
        <w:tabs>
          <w:tab w:val="left" w:pos="-420"/>
        </w:tabs>
        <w:ind w:left="3229" w:hanging="420"/>
      </w:pPr>
    </w:lvl>
    <w:lvl w:ilvl="7" w:tentative="0">
      <w:start w:val="1"/>
      <w:numFmt w:val="lowerLetter"/>
      <w:lvlText w:val="%8)"/>
      <w:lvlJc w:val="left"/>
      <w:pPr>
        <w:tabs>
          <w:tab w:val="left" w:pos="-420"/>
        </w:tabs>
        <w:ind w:left="3649" w:hanging="420"/>
      </w:pPr>
    </w:lvl>
    <w:lvl w:ilvl="8" w:tentative="0">
      <w:start w:val="1"/>
      <w:numFmt w:val="lowerRoman"/>
      <w:lvlText w:val="%9."/>
      <w:lvlJc w:val="right"/>
      <w:pPr>
        <w:tabs>
          <w:tab w:val="left" w:pos="-420"/>
        </w:tabs>
        <w:ind w:left="4069" w:hanging="420"/>
      </w:pPr>
    </w:lvl>
  </w:abstractNum>
  <w:abstractNum w:abstractNumId="12">
    <w:nsid w:val="79335931"/>
    <w:multiLevelType w:val="multilevel"/>
    <w:tmpl w:val="7933593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1"/>
  </w:num>
  <w:num w:numId="3">
    <w:abstractNumId w:val="4"/>
  </w:num>
  <w:num w:numId="4">
    <w:abstractNumId w:val="1"/>
  </w:num>
  <w:num w:numId="5">
    <w:abstractNumId w:val="2"/>
  </w:num>
  <w:num w:numId="6">
    <w:abstractNumId w:val="10"/>
  </w:num>
  <w:num w:numId="7">
    <w:abstractNumId w:val="3"/>
  </w:num>
  <w:num w:numId="8">
    <w:abstractNumId w:val="8"/>
  </w:num>
  <w:num w:numId="9">
    <w:abstractNumId w:val="7"/>
  </w:num>
  <w:num w:numId="10">
    <w:abstractNumId w:val="6"/>
  </w:num>
  <w:num w:numId="11">
    <w:abstractNumId w:val="9"/>
  </w:num>
  <w:num w:numId="12">
    <w:abstractNumId w:val="12"/>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A07306"/>
    <w:rsid w:val="0CA073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6</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2025-11-06T07:11:00Z</dcterms:created>
  <dc:creator>amour</dc:creator>
  <cp:lastModifiedBy>amour</cp:lastModifiedBy>
  <dcterms:modified xsi:type="dcterms:W3CDTF">2025-11-06T07:24:38Z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8383CB8312134BC7B936651FCB296C18_11</vt:lpwstr>
  </property>
  <property fmtid="{D5CDD505-2E9C-101B-9397-08002B2CF9AE}" pid="4" name="KSOTemplateDocerSaveRecord">
    <vt:lpwstr>eyJoZGlkIjoiN2RmNGQ2MDc0ZGFiNmIyNjNmMmJiNzcxMzg1OWQzY2YiLCJ1c2VySWQiOiIxMDQxNDY4Njc5In0=</vt:lpwstr>
  </property>
</Properties>
</file>