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2AB7">
            <w:pPr>
              <w:widowControl/>
              <w:spacing w:line="240" w:lineRule="atLeas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4"/>
                <w:szCs w:val="24"/>
                <w:lang w:val="en-US" w:eastAsia="zh-CN"/>
              </w:rPr>
              <w:t>集成高压直流电源</w:t>
            </w:r>
          </w:p>
        </w:tc>
        <w:tc>
          <w:tcPr>
            <w:tcW w:w="5322" w:type="dxa"/>
            <w:vAlign w:val="center"/>
          </w:tcPr>
          <w:p w14:paraId="61B8E4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480" w:firstLineChars="200"/>
              <w:textAlignment w:val="auto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该电源是一套高频脉冲电源控制系统，为集成化设计开发，包含中低压电源控制单元、高压电源控制单元、高频脉冲电源控制单元及主控单元，要求在同一个上位机控制软件界面上实现参数设置及实时监控。具体参数如下：</w:t>
            </w:r>
          </w:p>
          <w:p w14:paraId="577E2046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textAlignment w:val="auto"/>
              <w:rPr>
                <w:b w:val="0"/>
                <w:bCs w:val="0"/>
                <w:sz w:val="24"/>
                <w:szCs w:val="24"/>
              </w:rPr>
            </w:pPr>
            <w:bookmarkStart w:id="0" w:name="OLE_LINK16"/>
            <w:bookmarkStart w:id="1" w:name="OLE_LINK15"/>
            <w:r>
              <w:rPr>
                <w:rFonts w:hint="eastAsia"/>
                <w:b w:val="0"/>
                <w:bCs w:val="0"/>
                <w:sz w:val="24"/>
                <w:szCs w:val="24"/>
              </w:rPr>
              <w:t>中低压电源控制单元：</w:t>
            </w:r>
            <w:bookmarkEnd w:id="0"/>
            <w:bookmarkEnd w:id="1"/>
          </w:p>
          <w:p w14:paraId="7F25E7C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480" w:firstLineChars="20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输出通道：10路；输出电压范围：8路-200V</w:t>
            </w:r>
            <w:r>
              <w:rPr>
                <w:sz w:val="24"/>
                <w:szCs w:val="24"/>
              </w:rPr>
              <w:t>~+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00VDC</w:t>
            </w:r>
            <w:r>
              <w:rPr>
                <w:rFonts w:hint="eastAsia"/>
                <w:sz w:val="24"/>
                <w:szCs w:val="24"/>
              </w:rPr>
              <w:t>，2路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00~+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00VDC</w:t>
            </w:r>
          </w:p>
          <w:p w14:paraId="655B4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480" w:firstLineChars="20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输出电压设定准确度：</w:t>
            </w:r>
            <w:r>
              <w:rPr>
                <w:sz w:val="24"/>
                <w:szCs w:val="24"/>
              </w:rPr>
              <w:t>±1V；</w:t>
            </w:r>
            <w:r>
              <w:rPr>
                <w:rFonts w:hint="eastAsia"/>
                <w:sz w:val="24"/>
                <w:szCs w:val="24"/>
              </w:rPr>
              <w:t>输出电压测量准确度：</w:t>
            </w:r>
            <w:r>
              <w:rPr>
                <w:sz w:val="24"/>
                <w:szCs w:val="24"/>
              </w:rPr>
              <w:t>±1V；</w:t>
            </w:r>
            <w:r>
              <w:rPr>
                <w:rFonts w:hint="eastAsia"/>
                <w:sz w:val="24"/>
                <w:szCs w:val="24"/>
              </w:rPr>
              <w:t>纹波噪声：≤0</w:t>
            </w:r>
            <w:r>
              <w:rPr>
                <w:sz w:val="24"/>
                <w:szCs w:val="24"/>
              </w:rPr>
              <w:t>.01%</w:t>
            </w:r>
          </w:p>
          <w:p w14:paraId="4A8E4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480" w:firstLineChars="200"/>
              <w:jc w:val="left"/>
              <w:textAlignment w:val="auto"/>
              <w:rPr>
                <w:sz w:val="24"/>
                <w:szCs w:val="24"/>
              </w:rPr>
            </w:pPr>
            <w:bookmarkStart w:id="2" w:name="OLE_LINK13"/>
            <w:bookmarkStart w:id="3" w:name="OLE_LINK14"/>
            <w:r>
              <w:rPr>
                <w:rFonts w:hint="eastAsia"/>
                <w:sz w:val="24"/>
                <w:szCs w:val="24"/>
              </w:rPr>
              <w:t>稳定性：</w:t>
            </w:r>
            <w:r>
              <w:rPr>
                <w:sz w:val="24"/>
                <w:szCs w:val="24"/>
              </w:rPr>
              <w:t>10ppm/h；</w:t>
            </w:r>
            <w:r>
              <w:rPr>
                <w:rFonts w:hint="eastAsia"/>
                <w:sz w:val="24"/>
                <w:szCs w:val="24"/>
              </w:rPr>
              <w:t>最大耐受电流：1mA；</w:t>
            </w:r>
            <w:bookmarkEnd w:id="2"/>
            <w:bookmarkEnd w:id="3"/>
            <w:r>
              <w:rPr>
                <w:rFonts w:hint="eastAsia"/>
                <w:sz w:val="24"/>
                <w:szCs w:val="24"/>
              </w:rPr>
              <w:t>隔离</w:t>
            </w:r>
            <w:r>
              <w:rPr>
                <w:sz w:val="24"/>
                <w:szCs w:val="24"/>
              </w:rPr>
              <w:t>RS485</w:t>
            </w:r>
            <w:r>
              <w:rPr>
                <w:rFonts w:hint="eastAsia"/>
                <w:sz w:val="24"/>
                <w:szCs w:val="24"/>
              </w:rPr>
              <w:t>电路通信，接口为DB15接头</w:t>
            </w:r>
          </w:p>
          <w:p w14:paraId="4FFD5A4C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textAlignment w:val="auto"/>
              <w:rPr>
                <w:b w:val="0"/>
                <w:bCs w:val="0"/>
                <w:sz w:val="24"/>
                <w:szCs w:val="24"/>
              </w:rPr>
            </w:pPr>
            <w:bookmarkStart w:id="4" w:name="OLE_LINK17"/>
            <w:bookmarkStart w:id="5" w:name="OLE_LINK2"/>
            <w:bookmarkStart w:id="6" w:name="OLE_LINK3"/>
            <w:r>
              <w:rPr>
                <w:rFonts w:hint="eastAsia"/>
                <w:b w:val="0"/>
                <w:bCs w:val="0"/>
                <w:sz w:val="24"/>
                <w:szCs w:val="24"/>
              </w:rPr>
              <w:t>高压电源控制单元：</w:t>
            </w:r>
          </w:p>
          <w:bookmarkEnd w:id="4"/>
          <w:p w14:paraId="76A3F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输出通道：10路；</w:t>
            </w:r>
          </w:p>
          <w:p w14:paraId="097AB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输出电压范围：4路为0</w:t>
            </w:r>
            <w:r>
              <w:rPr>
                <w:rFonts w:hint="eastAsia"/>
                <w:kern w:val="0"/>
                <w:sz w:val="24"/>
                <w:szCs w:val="24"/>
              </w:rPr>
              <w:t>~</w:t>
            </w:r>
            <w:r>
              <w:rPr>
                <w:kern w:val="0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000V</w:t>
            </w:r>
            <w:r>
              <w:rPr>
                <w:rFonts w:hint="eastAsia"/>
                <w:sz w:val="24"/>
                <w:szCs w:val="24"/>
              </w:rPr>
              <w:t>，4路为0</w:t>
            </w:r>
            <w:r>
              <w:rPr>
                <w:rFonts w:hint="eastAsia"/>
                <w:kern w:val="0"/>
                <w:sz w:val="24"/>
                <w:szCs w:val="24"/>
              </w:rPr>
              <w:t>~</w:t>
            </w:r>
            <w:r>
              <w:rPr>
                <w:kern w:val="0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000V</w:t>
            </w:r>
            <w:r>
              <w:rPr>
                <w:rFonts w:hint="eastAsia"/>
                <w:sz w:val="24"/>
                <w:szCs w:val="24"/>
              </w:rPr>
              <w:t>，1路为0</w:t>
            </w:r>
            <w:r>
              <w:rPr>
                <w:rFonts w:hint="eastAsia"/>
                <w:kern w:val="0"/>
                <w:sz w:val="24"/>
                <w:szCs w:val="24"/>
              </w:rPr>
              <w:t>~</w:t>
            </w:r>
            <w:r>
              <w:rPr>
                <w:kern w:val="0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000V</w:t>
            </w:r>
            <w:r>
              <w:rPr>
                <w:rFonts w:hint="eastAsia"/>
                <w:sz w:val="24"/>
                <w:szCs w:val="24"/>
              </w:rPr>
              <w:t>，1路为0</w:t>
            </w:r>
            <w:r>
              <w:rPr>
                <w:rFonts w:hint="eastAsia"/>
                <w:kern w:val="0"/>
                <w:sz w:val="24"/>
                <w:szCs w:val="24"/>
              </w:rPr>
              <w:t>~2</w:t>
            </w:r>
            <w:r>
              <w:rPr>
                <w:sz w:val="24"/>
                <w:szCs w:val="24"/>
              </w:rPr>
              <w:t>000V</w:t>
            </w:r>
          </w:p>
          <w:p w14:paraId="2FA5B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控制给定精度：＜</w:t>
            </w:r>
            <w:r>
              <w:rPr>
                <w:sz w:val="24"/>
                <w:szCs w:val="24"/>
              </w:rPr>
              <w:t>0.1</w:t>
            </w:r>
            <w:r>
              <w:rPr>
                <w:rFonts w:hint="eastAsia"/>
                <w:sz w:val="24"/>
                <w:szCs w:val="24"/>
              </w:rPr>
              <w:t>％；反馈采集精度：＜</w:t>
            </w:r>
            <w:r>
              <w:rPr>
                <w:sz w:val="24"/>
                <w:szCs w:val="24"/>
              </w:rPr>
              <w:t>0.1</w:t>
            </w:r>
            <w:r>
              <w:rPr>
                <w:rFonts w:hint="eastAsia"/>
                <w:sz w:val="24"/>
                <w:szCs w:val="24"/>
              </w:rPr>
              <w:t>％；稳定性：</w:t>
            </w:r>
            <w:r>
              <w:rPr>
                <w:sz w:val="24"/>
                <w:szCs w:val="24"/>
              </w:rPr>
              <w:t>10ppm/h；</w:t>
            </w:r>
            <w:r>
              <w:rPr>
                <w:rFonts w:hint="eastAsia"/>
                <w:sz w:val="24"/>
                <w:szCs w:val="24"/>
              </w:rPr>
              <w:t>最大耐受电流：1mA</w:t>
            </w:r>
          </w:p>
          <w:p w14:paraId="02F740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隔离</w:t>
            </w:r>
            <w:r>
              <w:rPr>
                <w:sz w:val="24"/>
                <w:szCs w:val="24"/>
              </w:rPr>
              <w:t>RS485</w:t>
            </w:r>
            <w:r>
              <w:rPr>
                <w:rFonts w:hint="eastAsia"/>
                <w:sz w:val="24"/>
                <w:szCs w:val="24"/>
              </w:rPr>
              <w:t>电路通信，接口为SHV接头</w:t>
            </w:r>
          </w:p>
          <w:p w14:paraId="627F2D9A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textAlignment w:val="auto"/>
              <w:rPr>
                <w:b w:val="0"/>
                <w:bCs w:val="0"/>
                <w:sz w:val="24"/>
                <w:szCs w:val="24"/>
              </w:rPr>
            </w:pPr>
            <w:bookmarkStart w:id="7" w:name="OLE_LINK19"/>
            <w:bookmarkStart w:id="8" w:name="OLE_LINK20"/>
            <w:bookmarkStart w:id="9" w:name="OLE_LINK21"/>
            <w:bookmarkStart w:id="10" w:name="OLE_LINK18"/>
            <w:r>
              <w:rPr>
                <w:rFonts w:hint="eastAsia"/>
                <w:b w:val="0"/>
                <w:bCs w:val="0"/>
                <w:sz w:val="24"/>
                <w:szCs w:val="24"/>
              </w:rPr>
              <w:t>高频脉冲电源控制单元</w:t>
            </w:r>
            <w:bookmarkEnd w:id="7"/>
            <w:bookmarkEnd w:id="8"/>
            <w:r>
              <w:rPr>
                <w:rFonts w:hint="eastAsia"/>
                <w:b w:val="0"/>
                <w:bCs w:val="0"/>
                <w:sz w:val="24"/>
                <w:szCs w:val="24"/>
              </w:rPr>
              <w:t>：</w:t>
            </w:r>
            <w:bookmarkEnd w:id="9"/>
          </w:p>
          <w:bookmarkEnd w:id="10"/>
          <w:p w14:paraId="1D7307EA"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Pulse+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0~+</w:t>
            </w:r>
            <w:r>
              <w:rPr>
                <w:rFonts w:hint="eastAsia"/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00VDC；Pulse-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0~-</w:t>
            </w:r>
            <w:r>
              <w:rPr>
                <w:rFonts w:hint="eastAsia"/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00VDC</w:t>
            </w:r>
          </w:p>
          <w:p w14:paraId="7CABF6AA"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高压脉冲频率：最大2</w:t>
            </w:r>
            <w:r>
              <w:rPr>
                <w:sz w:val="24"/>
                <w:szCs w:val="24"/>
              </w:rPr>
              <w:t>0KHz；</w:t>
            </w:r>
            <w:r>
              <w:rPr>
                <w:rFonts w:hint="eastAsia"/>
                <w:sz w:val="24"/>
                <w:szCs w:val="24"/>
              </w:rPr>
              <w:t>高压脉冲脉宽：</w:t>
            </w:r>
            <w:r>
              <w:rPr>
                <w:sz w:val="24"/>
                <w:szCs w:val="24"/>
              </w:rPr>
              <w:t>200</w:t>
            </w:r>
            <w:bookmarkStart w:id="11" w:name="OLE_LINK11"/>
            <w:bookmarkStart w:id="12" w:name="OLE_LINK12"/>
            <w:r>
              <w:rPr>
                <w:rFonts w:hint="eastAsia"/>
                <w:sz w:val="24"/>
                <w:szCs w:val="24"/>
              </w:rPr>
              <w:t>ns</w:t>
            </w:r>
            <w:r>
              <w:rPr>
                <w:sz w:val="24"/>
                <w:szCs w:val="24"/>
              </w:rPr>
              <w:t>~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μ</w:t>
            </w:r>
            <w:r>
              <w:rPr>
                <w:rFonts w:hint="eastAsia"/>
                <w:sz w:val="24"/>
                <w:szCs w:val="24"/>
              </w:rPr>
              <w:t>s</w:t>
            </w:r>
            <w:bookmarkEnd w:id="11"/>
            <w:bookmarkEnd w:id="12"/>
            <w:r>
              <w:rPr>
                <w:rFonts w:hint="eastAsia"/>
                <w:sz w:val="24"/>
                <w:szCs w:val="24"/>
              </w:rPr>
              <w:t>；脉冲宽度范围：最小步进1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ns</w:t>
            </w:r>
          </w:p>
          <w:p w14:paraId="0A49710A"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脉冲上升沿：≤20ns （不含线缆）；稳定性：</w:t>
            </w:r>
            <w:r>
              <w:rPr>
                <w:sz w:val="24"/>
                <w:szCs w:val="24"/>
              </w:rPr>
              <w:t>10ppm/h；</w:t>
            </w:r>
            <w:r>
              <w:rPr>
                <w:rFonts w:hint="eastAsia"/>
                <w:sz w:val="24"/>
                <w:szCs w:val="24"/>
              </w:rPr>
              <w:t>最大耐受电流：10mA</w:t>
            </w:r>
          </w:p>
          <w:p w14:paraId="0A010C9C"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隔离</w:t>
            </w:r>
            <w:r>
              <w:rPr>
                <w:sz w:val="24"/>
                <w:szCs w:val="24"/>
              </w:rPr>
              <w:t>RS485</w:t>
            </w:r>
            <w:r>
              <w:rPr>
                <w:rFonts w:hint="eastAsia"/>
                <w:sz w:val="24"/>
                <w:szCs w:val="24"/>
              </w:rPr>
              <w:t>电路通信，发送信号与质谱采集同步，接口为BNC接头</w:t>
            </w:r>
          </w:p>
          <w:p w14:paraId="0A379D45"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/>
                <w:sz w:val="24"/>
                <w:szCs w:val="24"/>
              </w:rPr>
              <w:t>具备高精度纳秒级脉冲离子筛选功能，有效移除各类背景离子，提高检测器使用寿命。</w:t>
            </w:r>
          </w:p>
          <w:bookmarkEnd w:id="5"/>
          <w:bookmarkEnd w:id="6"/>
          <w:p w14:paraId="28074B25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/>
                <w:sz w:val="24"/>
                <w:szCs w:val="24"/>
              </w:rPr>
              <w:t>配备上位机控制软件，覆盖所有参数设置及监控需求，预留并可扩展控制高分辨质谱真空系统及数据采集系统。</w:t>
            </w:r>
          </w:p>
          <w:p w14:paraId="380D5093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eastAsia"/>
                <w:sz w:val="24"/>
                <w:szCs w:val="24"/>
              </w:rPr>
              <w:t>可配备物联推送功能，将仪器运行状态和仪器故障、报错信息等推送到指定接收端口，可选择微信/短信/LIMS系统等端口，网络协议TCP/UDP/DNS/FTP/HTTP/MQTT，</w:t>
            </w:r>
            <w:bookmarkStart w:id="13" w:name="_GoBack"/>
            <w:bookmarkEnd w:id="13"/>
            <w:r>
              <w:rPr>
                <w:rFonts w:hint="eastAsia"/>
                <w:sz w:val="24"/>
                <w:szCs w:val="24"/>
              </w:rPr>
              <w:t>支持TCPC/HTTPS/MQTTS加密，可选双向证书校验。</w:t>
            </w:r>
          </w:p>
          <w:p w14:paraId="34EF399E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5B719D26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合同签订后支付合同总价的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sz w:val="24"/>
                <w:szCs w:val="24"/>
              </w:rPr>
              <w:t>0%；货到验收合格后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支付尾款</w:t>
            </w:r>
            <w:r>
              <w:rPr>
                <w:sz w:val="24"/>
                <w:szCs w:val="24"/>
              </w:rPr>
              <w:t>。</w:t>
            </w:r>
          </w:p>
          <w:p w14:paraId="5EDCF8E6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1、厂家提供参数测试报告；2、厂家提供软件操作手册；</w:t>
            </w:r>
          </w:p>
          <w:p w14:paraId="1155BBD6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12个月质保期</w:t>
            </w:r>
          </w:p>
          <w:p w14:paraId="13B89397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其他：</w:t>
            </w:r>
          </w:p>
          <w:p w14:paraId="0C431427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1、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供应商报价时，需写明产品的制造商（品牌），提供型号和详细技术参数；</w:t>
            </w:r>
          </w:p>
          <w:p w14:paraId="5023F1C8">
            <w:pPr>
              <w:pStyle w:val="5"/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中标供应商在询价结束后五天内、合同签订前，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需提供上述功能的相关专利/软件截图/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报告等，以及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为质谱提供电源的供货记录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42F45D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EA6E89"/>
    <w:multiLevelType w:val="multilevel"/>
    <w:tmpl w:val="78EA6E89"/>
    <w:lvl w:ilvl="0" w:tentative="0">
      <w:start w:val="1"/>
      <w:numFmt w:val="decimal"/>
      <w:lvlText w:val="%1、"/>
      <w:lvlJc w:val="left"/>
      <w:pPr>
        <w:ind w:left="454" w:hanging="45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93FAC"/>
    <w:rsid w:val="1C093FAC"/>
    <w:rsid w:val="315573FC"/>
    <w:rsid w:val="4DED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469</Characters>
  <Lines>0</Lines>
  <Paragraphs>0</Paragraphs>
  <TotalTime>5</TotalTime>
  <ScaleCrop>false</ScaleCrop>
  <LinksUpToDate>false</LinksUpToDate>
  <CharactersWithSpaces>487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2026-06-17T08:47:00Z</dcterms:created>
  <dc:creator>DELL</dc:creator>
  <cp:lastModifiedBy>DELL</cp:lastModifiedBy>
  <dcterms:modified xsi:type="dcterms:W3CDTF">2026-06-24T02:45:06Z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2931EE91D4D24A53B8B6DA09194110C9_13</vt:lpwstr>
  </property>
  <property fmtid="{D5CDD505-2E9C-101B-9397-08002B2CF9AE}" pid="4" name="KSOTemplateDocerSaveRecord">
    <vt:lpwstr>eyJoZGlkIjoiN2RmNGQ2MDc0ZGFiNmIyNjNmMmJiNzcxMzg1OWQzY2YifQ==</vt:lpwstr>
  </property>
</Properties>
</file>