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9955E">
      <w:pPr>
        <w:jc w:val="center"/>
        <w:rPr>
          <w:sz w:val="36"/>
        </w:rPr>
      </w:pPr>
      <w:r>
        <w:rPr>
          <w:sz w:val="36"/>
        </w:rPr>
        <w:t>中国科学技术大学国家同步辐射实验室</w:t>
      </w:r>
    </w:p>
    <w:p w14:paraId="0973E65B">
      <w:pPr>
        <w:jc w:val="center"/>
        <w:rPr>
          <w:sz w:val="36"/>
        </w:rPr>
      </w:pPr>
      <w:r>
        <w:rPr>
          <w:rFonts w:hint="eastAsia"/>
          <w:sz w:val="36"/>
        </w:rPr>
        <w:t>技术指标供应商确认表</w:t>
      </w:r>
    </w:p>
    <w:p w14:paraId="3E58F52B"/>
    <w:tbl>
      <w:tblPr>
        <w:tblStyle w:val="6"/>
        <w:tblW w:w="9781"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422"/>
        <w:gridCol w:w="5244"/>
        <w:gridCol w:w="1418"/>
        <w:gridCol w:w="992"/>
      </w:tblGrid>
      <w:tr w14:paraId="3979F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705" w:type="dxa"/>
            <w:vAlign w:val="center"/>
          </w:tcPr>
          <w:p w14:paraId="75C250BA">
            <w:pPr>
              <w:spacing w:line="240" w:lineRule="atLeast"/>
              <w:jc w:val="center"/>
              <w:rPr>
                <w:sz w:val="22"/>
              </w:rPr>
            </w:pPr>
            <w:r>
              <w:rPr>
                <w:rFonts w:hint="eastAsia"/>
                <w:sz w:val="22"/>
              </w:rPr>
              <w:t>序号</w:t>
            </w:r>
          </w:p>
        </w:tc>
        <w:tc>
          <w:tcPr>
            <w:tcW w:w="1422" w:type="dxa"/>
            <w:vAlign w:val="center"/>
          </w:tcPr>
          <w:p w14:paraId="3A9FF52B">
            <w:pPr>
              <w:spacing w:line="240" w:lineRule="atLeast"/>
              <w:jc w:val="center"/>
              <w:rPr>
                <w:sz w:val="22"/>
              </w:rPr>
            </w:pPr>
            <w:r>
              <w:rPr>
                <w:rFonts w:hint="eastAsia"/>
                <w:sz w:val="22"/>
              </w:rPr>
              <w:t>名称</w:t>
            </w:r>
          </w:p>
        </w:tc>
        <w:tc>
          <w:tcPr>
            <w:tcW w:w="5244" w:type="dxa"/>
            <w:vAlign w:val="center"/>
          </w:tcPr>
          <w:p w14:paraId="258D475E">
            <w:pPr>
              <w:spacing w:line="240" w:lineRule="atLeast"/>
              <w:jc w:val="center"/>
              <w:rPr>
                <w:sz w:val="22"/>
              </w:rPr>
            </w:pPr>
            <w:r>
              <w:rPr>
                <w:rFonts w:hint="eastAsia"/>
                <w:sz w:val="22"/>
              </w:rPr>
              <w:t>技术指标</w:t>
            </w:r>
          </w:p>
        </w:tc>
        <w:tc>
          <w:tcPr>
            <w:tcW w:w="1418" w:type="dxa"/>
            <w:vAlign w:val="center"/>
          </w:tcPr>
          <w:p w14:paraId="37F7A556">
            <w:pPr>
              <w:spacing w:line="240" w:lineRule="atLeast"/>
              <w:jc w:val="center"/>
              <w:rPr>
                <w:szCs w:val="21"/>
              </w:rPr>
            </w:pPr>
            <w:r>
              <w:rPr>
                <w:rFonts w:hint="eastAsia"/>
                <w:szCs w:val="21"/>
              </w:rPr>
              <w:t>偏离说明</w:t>
            </w:r>
          </w:p>
          <w:p w14:paraId="328E92F5">
            <w:pPr>
              <w:spacing w:line="240" w:lineRule="atLeast"/>
              <w:jc w:val="center"/>
              <w:rPr>
                <w:sz w:val="24"/>
              </w:rPr>
            </w:pPr>
            <w:r>
              <w:rPr>
                <w:rFonts w:hint="eastAsia"/>
                <w:szCs w:val="21"/>
              </w:rPr>
              <w:t>(</w:t>
            </w:r>
            <w:r>
              <w:rPr>
                <w:szCs w:val="21"/>
              </w:rPr>
              <w:t>无偏离</w:t>
            </w:r>
            <w:r>
              <w:rPr>
                <w:rFonts w:hint="eastAsia"/>
                <w:szCs w:val="21"/>
              </w:rPr>
              <w:t>/</w:t>
            </w:r>
            <w:r>
              <w:rPr>
                <w:szCs w:val="21"/>
              </w:rPr>
              <w:t>正偏离</w:t>
            </w:r>
            <w:r>
              <w:rPr>
                <w:rFonts w:hint="eastAsia"/>
                <w:szCs w:val="21"/>
              </w:rPr>
              <w:t>/</w:t>
            </w:r>
            <w:r>
              <w:rPr>
                <w:szCs w:val="21"/>
              </w:rPr>
              <w:t>负偏离</w:t>
            </w:r>
            <w:r>
              <w:rPr>
                <w:rFonts w:hint="eastAsia"/>
                <w:szCs w:val="21"/>
              </w:rPr>
              <w:t>)</w:t>
            </w:r>
          </w:p>
        </w:tc>
        <w:tc>
          <w:tcPr>
            <w:tcW w:w="992" w:type="dxa"/>
            <w:vAlign w:val="center"/>
          </w:tcPr>
          <w:p w14:paraId="22A89C1E">
            <w:pPr>
              <w:spacing w:line="240" w:lineRule="atLeast"/>
              <w:jc w:val="center"/>
              <w:rPr>
                <w:sz w:val="24"/>
              </w:rPr>
            </w:pPr>
            <w:r>
              <w:rPr>
                <w:rFonts w:hint="eastAsia"/>
                <w:sz w:val="22"/>
              </w:rPr>
              <w:t>偏离值</w:t>
            </w:r>
          </w:p>
        </w:tc>
      </w:tr>
      <w:tr w14:paraId="39438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2" w:hRule="atLeast"/>
        </w:trPr>
        <w:tc>
          <w:tcPr>
            <w:tcW w:w="705" w:type="dxa"/>
            <w:vAlign w:val="center"/>
          </w:tcPr>
          <w:p w14:paraId="185CA09D">
            <w:pPr>
              <w:spacing w:line="240" w:lineRule="atLeast"/>
              <w:jc w:val="center"/>
            </w:pPr>
            <w:r>
              <w:rPr>
                <w:rFonts w:hint="eastAsia"/>
              </w:rPr>
              <w:t>1</w:t>
            </w:r>
          </w:p>
        </w:tc>
        <w:tc>
          <w:tcPr>
            <w:tcW w:w="1422" w:type="dxa"/>
            <w:tcBorders>
              <w:bottom w:val="single" w:color="auto" w:sz="4" w:space="0"/>
            </w:tcBorders>
            <w:shd w:val="clear" w:color="auto" w:fill="auto"/>
            <w:vAlign w:val="center"/>
          </w:tcPr>
          <w:p w14:paraId="110FD52C">
            <w:pPr>
              <w:widowControl/>
              <w:spacing w:line="240" w:lineRule="atLeast"/>
              <w:jc w:val="center"/>
              <w:rPr>
                <w:rFonts w:ascii="Times New Roman" w:hAnsi="Times New Roman" w:eastAsia="宋体" w:cs="Times New Roman"/>
                <w:szCs w:val="24"/>
              </w:rPr>
            </w:pPr>
            <w:r>
              <w:rPr>
                <w:rFonts w:hint="eastAsia" w:ascii="Arial" w:hAnsi="Arial" w:eastAsia="宋体" w:cs="Arial"/>
                <w:b w:val="0"/>
                <w:bCs w:val="0"/>
                <w:szCs w:val="21"/>
                <w:shd w:val="clear" w:color="auto" w:fill="FFFFFF"/>
              </w:rPr>
              <w:t>设备安全联锁系统</w:t>
            </w:r>
          </w:p>
        </w:tc>
        <w:tc>
          <w:tcPr>
            <w:tcW w:w="5244" w:type="dxa"/>
            <w:tcBorders>
              <w:bottom w:val="single" w:color="auto" w:sz="4" w:space="0"/>
            </w:tcBorders>
            <w:shd w:val="clear" w:color="auto" w:fill="auto"/>
            <w:vAlign w:val="center"/>
          </w:tcPr>
          <w:tbl>
            <w:tblPr>
              <w:tblStyle w:val="6"/>
              <w:tblW w:w="52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6"/>
              <w:gridCol w:w="1894"/>
              <w:gridCol w:w="635"/>
              <w:gridCol w:w="2313"/>
            </w:tblGrid>
            <w:tr w14:paraId="4EA5A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376" w:type="dxa"/>
                  <w:vAlign w:val="center"/>
                </w:tcPr>
                <w:p w14:paraId="142434E6">
                  <w:pPr>
                    <w:tabs>
                      <w:tab w:val="left" w:pos="6915"/>
                    </w:tabs>
                    <w:jc w:val="center"/>
                    <w:rPr>
                      <w:rFonts w:hint="eastAsia" w:ascii="仿宋" w:hAnsi="仿宋" w:eastAsia="仿宋" w:cs="仿宋"/>
                      <w:b/>
                      <w:szCs w:val="21"/>
                    </w:rPr>
                  </w:pPr>
                  <w:r>
                    <w:rPr>
                      <w:rFonts w:hint="eastAsia" w:ascii="仿宋" w:hAnsi="仿宋" w:eastAsia="仿宋" w:cs="仿宋"/>
                      <w:b/>
                      <w:szCs w:val="21"/>
                    </w:rPr>
                    <w:t>序号</w:t>
                  </w:r>
                </w:p>
              </w:tc>
              <w:tc>
                <w:tcPr>
                  <w:tcW w:w="1894" w:type="dxa"/>
                  <w:vAlign w:val="center"/>
                </w:tcPr>
                <w:p w14:paraId="4C0E188C">
                  <w:pPr>
                    <w:tabs>
                      <w:tab w:val="left" w:pos="6915"/>
                    </w:tabs>
                    <w:jc w:val="center"/>
                    <w:rPr>
                      <w:rFonts w:hint="eastAsia" w:ascii="仿宋" w:hAnsi="仿宋" w:eastAsia="仿宋" w:cs="仿宋"/>
                      <w:b/>
                      <w:szCs w:val="21"/>
                    </w:rPr>
                  </w:pPr>
                  <w:r>
                    <w:rPr>
                      <w:rFonts w:hint="eastAsia" w:ascii="仿宋" w:hAnsi="仿宋" w:eastAsia="仿宋" w:cs="仿宋"/>
                      <w:b/>
                      <w:szCs w:val="21"/>
                    </w:rPr>
                    <w:t>名称</w:t>
                  </w:r>
                </w:p>
              </w:tc>
              <w:tc>
                <w:tcPr>
                  <w:tcW w:w="635" w:type="dxa"/>
                  <w:vAlign w:val="center"/>
                </w:tcPr>
                <w:p w14:paraId="53D08727">
                  <w:pPr>
                    <w:tabs>
                      <w:tab w:val="left" w:pos="6915"/>
                    </w:tabs>
                    <w:jc w:val="center"/>
                    <w:rPr>
                      <w:rFonts w:hint="eastAsia" w:ascii="仿宋" w:hAnsi="仿宋" w:eastAsia="仿宋" w:cs="仿宋"/>
                      <w:b/>
                      <w:szCs w:val="21"/>
                    </w:rPr>
                  </w:pPr>
                  <w:r>
                    <w:rPr>
                      <w:rFonts w:hint="eastAsia" w:ascii="仿宋" w:hAnsi="仿宋" w:eastAsia="仿宋" w:cs="仿宋"/>
                      <w:b/>
                      <w:szCs w:val="21"/>
                    </w:rPr>
                    <w:t>数量</w:t>
                  </w:r>
                </w:p>
              </w:tc>
              <w:tc>
                <w:tcPr>
                  <w:tcW w:w="2313" w:type="dxa"/>
                  <w:vAlign w:val="center"/>
                </w:tcPr>
                <w:p w14:paraId="01DDCA46">
                  <w:pPr>
                    <w:tabs>
                      <w:tab w:val="left" w:pos="6915"/>
                    </w:tabs>
                    <w:jc w:val="center"/>
                    <w:rPr>
                      <w:rFonts w:hint="eastAsia" w:ascii="仿宋" w:hAnsi="仿宋" w:eastAsia="仿宋" w:cs="仿宋"/>
                      <w:b/>
                      <w:szCs w:val="21"/>
                    </w:rPr>
                  </w:pPr>
                  <w:r>
                    <w:rPr>
                      <w:rFonts w:hint="eastAsia" w:ascii="仿宋" w:hAnsi="仿宋" w:eastAsia="仿宋" w:cs="仿宋"/>
                      <w:b/>
                      <w:szCs w:val="21"/>
                    </w:rPr>
                    <w:t>备注</w:t>
                  </w:r>
                </w:p>
              </w:tc>
            </w:tr>
            <w:tr w14:paraId="50877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6" w:hRule="atLeast"/>
                <w:jc w:val="center"/>
              </w:trPr>
              <w:tc>
                <w:tcPr>
                  <w:tcW w:w="376" w:type="dxa"/>
                  <w:vAlign w:val="center"/>
                </w:tcPr>
                <w:p w14:paraId="43950788">
                  <w:pPr>
                    <w:tabs>
                      <w:tab w:val="left" w:pos="6915"/>
                    </w:tabs>
                    <w:jc w:val="center"/>
                    <w:rPr>
                      <w:rFonts w:hint="eastAsia" w:ascii="仿宋" w:hAnsi="仿宋" w:eastAsia="仿宋" w:cs="仿宋"/>
                      <w:bCs/>
                      <w:szCs w:val="21"/>
                    </w:rPr>
                  </w:pPr>
                  <w:r>
                    <w:rPr>
                      <w:rFonts w:hint="eastAsia" w:ascii="仿宋" w:hAnsi="仿宋" w:eastAsia="仿宋" w:cs="仿宋"/>
                      <w:bCs/>
                      <w:szCs w:val="21"/>
                    </w:rPr>
                    <w:t>1</w:t>
                  </w:r>
                </w:p>
              </w:tc>
              <w:tc>
                <w:tcPr>
                  <w:tcW w:w="1894" w:type="dxa"/>
                  <w:vAlign w:val="center"/>
                </w:tcPr>
                <w:p w14:paraId="474ECBF1">
                  <w:pPr>
                    <w:tabs>
                      <w:tab w:val="left" w:pos="6915"/>
                    </w:tabs>
                    <w:jc w:val="left"/>
                    <w:rPr>
                      <w:rFonts w:hint="eastAsia" w:ascii="仿宋" w:hAnsi="仿宋" w:eastAsia="仿宋" w:cs="仿宋"/>
                      <w:bCs/>
                      <w:szCs w:val="21"/>
                    </w:rPr>
                  </w:pPr>
                  <w:r>
                    <w:rPr>
                      <w:rFonts w:hint="eastAsia" w:ascii="仿宋" w:hAnsi="仿宋" w:eastAsia="仿宋" w:cs="仿宋"/>
                      <w:bCs/>
                      <w:szCs w:val="21"/>
                    </w:rPr>
                    <w:t>设备安全联锁系统</w:t>
                  </w:r>
                </w:p>
              </w:tc>
              <w:tc>
                <w:tcPr>
                  <w:tcW w:w="635" w:type="dxa"/>
                  <w:vAlign w:val="center"/>
                </w:tcPr>
                <w:p w14:paraId="34F2A6BB">
                  <w:pPr>
                    <w:tabs>
                      <w:tab w:val="left" w:pos="6915"/>
                    </w:tabs>
                    <w:jc w:val="center"/>
                    <w:rPr>
                      <w:rFonts w:hint="eastAsia" w:ascii="仿宋" w:hAnsi="仿宋" w:eastAsia="仿宋" w:cs="仿宋"/>
                      <w:bCs/>
                      <w:szCs w:val="21"/>
                    </w:rPr>
                  </w:pPr>
                  <w:r>
                    <w:rPr>
                      <w:rFonts w:hint="eastAsia" w:ascii="仿宋" w:hAnsi="仿宋" w:eastAsia="仿宋" w:cs="仿宋"/>
                      <w:bCs/>
                      <w:szCs w:val="21"/>
                    </w:rPr>
                    <w:t>1套</w:t>
                  </w:r>
                </w:p>
              </w:tc>
              <w:tc>
                <w:tcPr>
                  <w:tcW w:w="2313" w:type="dxa"/>
                  <w:vAlign w:val="center"/>
                </w:tcPr>
                <w:p w14:paraId="5BF32707">
                  <w:pPr>
                    <w:tabs>
                      <w:tab w:val="left" w:pos="6915"/>
                    </w:tabs>
                    <w:jc w:val="left"/>
                    <w:rPr>
                      <w:rFonts w:hint="eastAsia" w:ascii="仿宋" w:hAnsi="仿宋" w:eastAsia="仿宋" w:cs="仿宋"/>
                      <w:bCs/>
                      <w:kern w:val="0"/>
                      <w:sz w:val="20"/>
                      <w:szCs w:val="20"/>
                    </w:rPr>
                  </w:pPr>
                  <w:r>
                    <w:rPr>
                      <w:rFonts w:hint="eastAsia" w:ascii="仿宋" w:hAnsi="仿宋" w:eastAsia="仿宋" w:cs="仿宋"/>
                      <w:bCs/>
                      <w:kern w:val="0"/>
                      <w:sz w:val="20"/>
                      <w:szCs w:val="20"/>
                    </w:rPr>
                    <w:t>系统需要很好兼容现有设备安全联锁系统；提供现场安装、综合布线与软硬件调试服务；要支持EPICS控制系统，支持IOC与OPI的开发等。</w:t>
                  </w:r>
                </w:p>
              </w:tc>
            </w:tr>
          </w:tbl>
          <w:p w14:paraId="1B24BDCA">
            <w:pPr>
              <w:tabs>
                <w:tab w:val="left" w:pos="6915"/>
              </w:tabs>
              <w:jc w:val="left"/>
              <w:rPr>
                <w:rFonts w:hint="eastAsia" w:ascii="仿宋" w:hAnsi="仿宋" w:eastAsia="仿宋" w:cs="仿宋"/>
                <w:b/>
                <w:szCs w:val="21"/>
              </w:rPr>
            </w:pPr>
            <w:r>
              <w:rPr>
                <w:rFonts w:hint="eastAsia" w:ascii="仿宋" w:hAnsi="仿宋" w:eastAsia="仿宋" w:cs="仿宋"/>
                <w:b/>
                <w:szCs w:val="21"/>
              </w:rPr>
              <w:t>规格和技术参数：</w:t>
            </w:r>
          </w:p>
          <w:p w14:paraId="63EFE876">
            <w:pPr>
              <w:tabs>
                <w:tab w:val="left" w:pos="6915"/>
              </w:tabs>
              <w:jc w:val="left"/>
              <w:rPr>
                <w:rFonts w:hint="eastAsia" w:ascii="仿宋" w:hAnsi="仿宋" w:eastAsia="仿宋" w:cs="仿宋"/>
                <w:kern w:val="0"/>
                <w:sz w:val="20"/>
                <w:szCs w:val="20"/>
              </w:rPr>
            </w:pPr>
            <w:r>
              <w:rPr>
                <w:rFonts w:hint="eastAsia" w:ascii="仿宋" w:hAnsi="仿宋" w:eastAsia="仿宋" w:cs="仿宋"/>
                <w:kern w:val="0"/>
                <w:sz w:val="20"/>
                <w:szCs w:val="20"/>
              </w:rPr>
              <w:t>光束线设备安全联锁系统的任务是对光束线上的真空规、光闸、真空阀门等设备进行状态监测与控制，并提供设备联锁保护功能。</w:t>
            </w:r>
          </w:p>
          <w:p w14:paraId="0F3396A6">
            <w:pPr>
              <w:tabs>
                <w:tab w:val="left" w:pos="6915"/>
              </w:tabs>
              <w:jc w:val="left"/>
              <w:rPr>
                <w:rFonts w:hint="eastAsia" w:ascii="仿宋" w:hAnsi="仿宋" w:eastAsia="仿宋" w:cs="仿宋"/>
                <w:bCs/>
                <w:kern w:val="0"/>
                <w:sz w:val="20"/>
                <w:szCs w:val="20"/>
              </w:rPr>
            </w:pPr>
            <w:r>
              <w:rPr>
                <w:rFonts w:hint="eastAsia" w:ascii="仿宋" w:hAnsi="仿宋" w:eastAsia="仿宋" w:cs="仿宋"/>
                <w:bCs/>
                <w:kern w:val="0"/>
                <w:sz w:val="20"/>
                <w:szCs w:val="20"/>
              </w:rPr>
              <w:t>具体规格和参数如下：</w:t>
            </w:r>
          </w:p>
          <w:tbl>
            <w:tblPr>
              <w:tblStyle w:val="5"/>
              <w:tblW w:w="5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6"/>
              <w:gridCol w:w="2844"/>
              <w:gridCol w:w="1369"/>
            </w:tblGrid>
            <w:tr w14:paraId="7D9C8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966" w:type="dxa"/>
                  <w:vAlign w:val="center"/>
                </w:tcPr>
                <w:p w14:paraId="3D124DDC">
                  <w:pPr>
                    <w:adjustRightInd w:val="0"/>
                    <w:jc w:val="center"/>
                    <w:textAlignment w:val="baseline"/>
                    <w:rPr>
                      <w:rFonts w:hint="eastAsia" w:ascii="仿宋" w:hAnsi="仿宋" w:eastAsia="仿宋" w:cs="仿宋"/>
                      <w:b/>
                      <w:kern w:val="0"/>
                      <w:sz w:val="24"/>
                    </w:rPr>
                  </w:pPr>
                  <w:r>
                    <w:rPr>
                      <w:rFonts w:hint="eastAsia" w:ascii="仿宋" w:hAnsi="仿宋" w:eastAsia="仿宋" w:cs="仿宋"/>
                      <w:b/>
                      <w:kern w:val="0"/>
                      <w:sz w:val="24"/>
                    </w:rPr>
                    <w:t>名称</w:t>
                  </w:r>
                </w:p>
              </w:tc>
              <w:tc>
                <w:tcPr>
                  <w:tcW w:w="4213" w:type="dxa"/>
                  <w:gridSpan w:val="2"/>
                  <w:vAlign w:val="center"/>
                </w:tcPr>
                <w:p w14:paraId="04370972">
                  <w:pPr>
                    <w:adjustRightInd w:val="0"/>
                    <w:jc w:val="center"/>
                    <w:textAlignment w:val="baseline"/>
                    <w:rPr>
                      <w:rFonts w:hint="eastAsia" w:ascii="仿宋" w:hAnsi="仿宋" w:eastAsia="仿宋" w:cs="仿宋"/>
                      <w:kern w:val="0"/>
                      <w:sz w:val="24"/>
                    </w:rPr>
                  </w:pPr>
                  <w:r>
                    <w:rPr>
                      <w:rFonts w:hint="eastAsia" w:ascii="仿宋" w:hAnsi="仿宋" w:eastAsia="仿宋" w:cs="仿宋"/>
                      <w:b/>
                      <w:kern w:val="0"/>
                      <w:sz w:val="24"/>
                    </w:rPr>
                    <w:t>规格参数</w:t>
                  </w:r>
                </w:p>
              </w:tc>
            </w:tr>
            <w:tr w14:paraId="473C0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966" w:type="dxa"/>
                  <w:vMerge w:val="restart"/>
                  <w:vAlign w:val="center"/>
                </w:tcPr>
                <w:p w14:paraId="523854A6">
                  <w:pPr>
                    <w:adjustRightInd w:val="0"/>
                    <w:jc w:val="center"/>
                    <w:textAlignment w:val="baseline"/>
                    <w:rPr>
                      <w:rFonts w:hint="eastAsia" w:ascii="仿宋" w:hAnsi="仿宋" w:eastAsia="仿宋" w:cs="仿宋"/>
                      <w:bCs/>
                      <w:kern w:val="0"/>
                      <w:sz w:val="20"/>
                      <w:szCs w:val="20"/>
                    </w:rPr>
                  </w:pPr>
                  <w:r>
                    <w:rPr>
                      <w:rFonts w:hint="eastAsia" w:ascii="仿宋" w:hAnsi="仿宋" w:eastAsia="仿宋" w:cs="仿宋"/>
                      <w:bCs/>
                      <w:kern w:val="0"/>
                      <w:sz w:val="20"/>
                      <w:szCs w:val="20"/>
                    </w:rPr>
                    <w:t>输入输出点数</w:t>
                  </w:r>
                </w:p>
              </w:tc>
              <w:tc>
                <w:tcPr>
                  <w:tcW w:w="2844" w:type="dxa"/>
                  <w:vAlign w:val="center"/>
                </w:tcPr>
                <w:p w14:paraId="7C6CB743">
                  <w:pPr>
                    <w:adjustRightInd w:val="0"/>
                    <w:jc w:val="center"/>
                    <w:textAlignment w:val="baseline"/>
                    <w:rPr>
                      <w:rFonts w:hint="eastAsia" w:ascii="仿宋" w:hAnsi="仿宋" w:eastAsia="仿宋" w:cs="仿宋"/>
                      <w:bCs/>
                      <w:kern w:val="0"/>
                      <w:sz w:val="20"/>
                      <w:szCs w:val="20"/>
                    </w:rPr>
                  </w:pPr>
                  <w:r>
                    <w:rPr>
                      <w:rFonts w:hint="eastAsia" w:ascii="仿宋" w:hAnsi="仿宋" w:eastAsia="仿宋" w:cs="仿宋"/>
                      <w:bCs/>
                      <w:kern w:val="0"/>
                      <w:sz w:val="20"/>
                      <w:szCs w:val="20"/>
                    </w:rPr>
                    <w:t>数字输入点（个）</w:t>
                  </w:r>
                </w:p>
              </w:tc>
              <w:tc>
                <w:tcPr>
                  <w:tcW w:w="1369" w:type="dxa"/>
                  <w:vAlign w:val="center"/>
                </w:tcPr>
                <w:p w14:paraId="12677D41">
                  <w:pPr>
                    <w:adjustRightInd w:val="0"/>
                    <w:jc w:val="center"/>
                    <w:textAlignment w:val="baseline"/>
                    <w:rPr>
                      <w:rFonts w:hint="eastAsia" w:ascii="仿宋" w:hAnsi="仿宋" w:eastAsia="仿宋" w:cs="仿宋"/>
                      <w:bCs/>
                      <w:kern w:val="0"/>
                      <w:sz w:val="20"/>
                      <w:szCs w:val="20"/>
                    </w:rPr>
                  </w:pPr>
                  <w:r>
                    <w:rPr>
                      <w:rFonts w:hint="eastAsia" w:ascii="仿宋" w:hAnsi="仿宋" w:eastAsia="仿宋" w:cs="仿宋"/>
                      <w:bCs/>
                      <w:kern w:val="0"/>
                      <w:sz w:val="20"/>
                      <w:szCs w:val="20"/>
                    </w:rPr>
                    <w:t>≥128</w:t>
                  </w:r>
                </w:p>
              </w:tc>
            </w:tr>
            <w:tr w14:paraId="17A2E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966" w:type="dxa"/>
                  <w:vMerge w:val="continue"/>
                  <w:vAlign w:val="center"/>
                </w:tcPr>
                <w:p w14:paraId="36B23496">
                  <w:pPr>
                    <w:adjustRightInd w:val="0"/>
                    <w:jc w:val="center"/>
                    <w:textAlignment w:val="baseline"/>
                    <w:rPr>
                      <w:rFonts w:hint="eastAsia" w:ascii="仿宋" w:hAnsi="仿宋" w:eastAsia="仿宋" w:cs="仿宋"/>
                      <w:bCs/>
                      <w:kern w:val="0"/>
                      <w:sz w:val="20"/>
                      <w:szCs w:val="20"/>
                    </w:rPr>
                  </w:pPr>
                </w:p>
              </w:tc>
              <w:tc>
                <w:tcPr>
                  <w:tcW w:w="2844" w:type="dxa"/>
                  <w:vAlign w:val="center"/>
                </w:tcPr>
                <w:p w14:paraId="0BDE6B91">
                  <w:pPr>
                    <w:adjustRightInd w:val="0"/>
                    <w:jc w:val="center"/>
                    <w:textAlignment w:val="baseline"/>
                    <w:rPr>
                      <w:rFonts w:hint="eastAsia" w:ascii="仿宋" w:hAnsi="仿宋" w:eastAsia="仿宋" w:cs="仿宋"/>
                      <w:bCs/>
                      <w:kern w:val="0"/>
                      <w:sz w:val="20"/>
                      <w:szCs w:val="20"/>
                    </w:rPr>
                  </w:pPr>
                  <w:r>
                    <w:rPr>
                      <w:rFonts w:hint="eastAsia" w:ascii="仿宋" w:hAnsi="仿宋" w:eastAsia="仿宋" w:cs="仿宋"/>
                      <w:bCs/>
                      <w:kern w:val="0"/>
                      <w:sz w:val="20"/>
                      <w:szCs w:val="20"/>
                    </w:rPr>
                    <w:t>数字输出点（个）</w:t>
                  </w:r>
                </w:p>
              </w:tc>
              <w:tc>
                <w:tcPr>
                  <w:tcW w:w="1369" w:type="dxa"/>
                  <w:vAlign w:val="center"/>
                </w:tcPr>
                <w:p w14:paraId="65B0A023">
                  <w:pPr>
                    <w:adjustRightInd w:val="0"/>
                    <w:jc w:val="center"/>
                    <w:textAlignment w:val="baseline"/>
                    <w:rPr>
                      <w:rFonts w:hint="eastAsia" w:ascii="仿宋" w:hAnsi="仿宋" w:eastAsia="仿宋" w:cs="仿宋"/>
                      <w:bCs/>
                      <w:kern w:val="0"/>
                      <w:sz w:val="20"/>
                      <w:szCs w:val="20"/>
                    </w:rPr>
                  </w:pPr>
                  <w:bookmarkStart w:id="0" w:name="OLE_LINK45"/>
                  <w:r>
                    <w:rPr>
                      <w:rFonts w:hint="eastAsia" w:ascii="仿宋" w:hAnsi="仿宋" w:eastAsia="仿宋" w:cs="仿宋"/>
                      <w:bCs/>
                      <w:kern w:val="0"/>
                      <w:sz w:val="20"/>
                      <w:szCs w:val="20"/>
                    </w:rPr>
                    <w:t>≥64</w:t>
                  </w:r>
                  <w:bookmarkEnd w:id="0"/>
                </w:p>
              </w:tc>
            </w:tr>
            <w:tr w14:paraId="5F55C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966" w:type="dxa"/>
                  <w:vMerge w:val="continue"/>
                  <w:vAlign w:val="center"/>
                </w:tcPr>
                <w:p w14:paraId="43502EC0">
                  <w:pPr>
                    <w:adjustRightInd w:val="0"/>
                    <w:jc w:val="center"/>
                    <w:textAlignment w:val="baseline"/>
                    <w:rPr>
                      <w:rFonts w:hint="eastAsia" w:ascii="仿宋" w:hAnsi="仿宋" w:eastAsia="仿宋" w:cs="仿宋"/>
                      <w:bCs/>
                      <w:kern w:val="0"/>
                      <w:sz w:val="20"/>
                      <w:szCs w:val="20"/>
                    </w:rPr>
                  </w:pPr>
                </w:p>
              </w:tc>
              <w:tc>
                <w:tcPr>
                  <w:tcW w:w="2844" w:type="dxa"/>
                  <w:vAlign w:val="center"/>
                </w:tcPr>
                <w:p w14:paraId="1EEBA4F0">
                  <w:pPr>
                    <w:adjustRightInd w:val="0"/>
                    <w:jc w:val="center"/>
                    <w:textAlignment w:val="baseline"/>
                    <w:rPr>
                      <w:rFonts w:hint="eastAsia" w:ascii="仿宋" w:hAnsi="仿宋" w:eastAsia="仿宋" w:cs="仿宋"/>
                      <w:bCs/>
                      <w:kern w:val="0"/>
                      <w:sz w:val="20"/>
                      <w:szCs w:val="20"/>
                    </w:rPr>
                  </w:pPr>
                  <w:r>
                    <w:rPr>
                      <w:rFonts w:hint="eastAsia" w:ascii="仿宋" w:hAnsi="仿宋" w:eastAsia="仿宋" w:cs="仿宋"/>
                      <w:bCs/>
                      <w:kern w:val="0"/>
                      <w:sz w:val="20"/>
                      <w:szCs w:val="20"/>
                    </w:rPr>
                    <w:t>模拟量输入点（个）</w:t>
                  </w:r>
                </w:p>
              </w:tc>
              <w:tc>
                <w:tcPr>
                  <w:tcW w:w="1369" w:type="dxa"/>
                  <w:vAlign w:val="center"/>
                </w:tcPr>
                <w:p w14:paraId="1B4FE8C0">
                  <w:pPr>
                    <w:adjustRightInd w:val="0"/>
                    <w:jc w:val="center"/>
                    <w:textAlignment w:val="baseline"/>
                    <w:rPr>
                      <w:rFonts w:hint="eastAsia" w:ascii="仿宋" w:hAnsi="仿宋" w:eastAsia="仿宋" w:cs="仿宋"/>
                      <w:bCs/>
                      <w:kern w:val="0"/>
                      <w:sz w:val="20"/>
                      <w:szCs w:val="20"/>
                    </w:rPr>
                  </w:pPr>
                  <w:r>
                    <w:rPr>
                      <w:rFonts w:hint="eastAsia" w:ascii="仿宋" w:hAnsi="仿宋" w:eastAsia="仿宋" w:cs="仿宋"/>
                      <w:bCs/>
                      <w:kern w:val="0"/>
                      <w:sz w:val="20"/>
                      <w:szCs w:val="20"/>
                    </w:rPr>
                    <w:t>≥32</w:t>
                  </w:r>
                </w:p>
              </w:tc>
            </w:tr>
            <w:tr w14:paraId="20E38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1" w:hRule="atLeast"/>
                <w:jc w:val="center"/>
              </w:trPr>
              <w:tc>
                <w:tcPr>
                  <w:tcW w:w="966" w:type="dxa"/>
                  <w:tcBorders>
                    <w:top w:val="single" w:color="auto" w:sz="4" w:space="0"/>
                    <w:left w:val="single" w:color="auto" w:sz="4" w:space="0"/>
                    <w:bottom w:val="single" w:color="auto" w:sz="4" w:space="0"/>
                    <w:right w:val="single" w:color="auto" w:sz="4" w:space="0"/>
                  </w:tcBorders>
                  <w:vAlign w:val="center"/>
                </w:tcPr>
                <w:p w14:paraId="6826A818">
                  <w:pPr>
                    <w:adjustRightInd w:val="0"/>
                    <w:jc w:val="center"/>
                    <w:textAlignment w:val="baseline"/>
                    <w:rPr>
                      <w:rFonts w:hint="eastAsia" w:ascii="仿宋" w:hAnsi="仿宋" w:eastAsia="仿宋" w:cs="仿宋"/>
                      <w:bCs/>
                      <w:kern w:val="0"/>
                      <w:sz w:val="20"/>
                      <w:szCs w:val="20"/>
                    </w:rPr>
                  </w:pPr>
                  <w:r>
                    <w:rPr>
                      <w:rFonts w:hint="eastAsia" w:ascii="仿宋" w:hAnsi="仿宋" w:eastAsia="仿宋" w:cs="仿宋"/>
                      <w:bCs/>
                      <w:kern w:val="0"/>
                      <w:sz w:val="20"/>
                      <w:szCs w:val="20"/>
                    </w:rPr>
                    <w:t>CPU模块</w:t>
                  </w:r>
                </w:p>
              </w:tc>
              <w:tc>
                <w:tcPr>
                  <w:tcW w:w="4213" w:type="dxa"/>
                  <w:gridSpan w:val="2"/>
                  <w:tcBorders>
                    <w:top w:val="single" w:color="auto" w:sz="4" w:space="0"/>
                    <w:left w:val="single" w:color="auto" w:sz="4" w:space="0"/>
                    <w:bottom w:val="single" w:color="auto" w:sz="4" w:space="0"/>
                    <w:right w:val="single" w:color="auto" w:sz="4" w:space="0"/>
                  </w:tcBorders>
                  <w:vAlign w:val="center"/>
                </w:tcPr>
                <w:p w14:paraId="590A546D">
                  <w:pPr>
                    <w:widowControl/>
                    <w:rPr>
                      <w:rFonts w:hint="eastAsia" w:ascii="仿宋" w:hAnsi="仿宋" w:eastAsia="仿宋" w:cs="仿宋"/>
                      <w:bCs/>
                      <w:kern w:val="0"/>
                      <w:sz w:val="20"/>
                      <w:szCs w:val="20"/>
                    </w:rPr>
                  </w:pPr>
                  <w:r>
                    <w:rPr>
                      <w:rFonts w:hint="eastAsia" w:ascii="仿宋" w:hAnsi="仿宋" w:eastAsia="仿宋" w:cs="仿宋"/>
                      <w:bCs/>
                      <w:kern w:val="0"/>
                      <w:sz w:val="20"/>
                      <w:szCs w:val="20"/>
                    </w:rPr>
                    <w:t>1.</w:t>
                  </w:r>
                  <w:r>
                    <w:rPr>
                      <w:rFonts w:hint="eastAsia" w:ascii="仿宋" w:hAnsi="仿宋" w:eastAsia="仿宋" w:cs="仿宋"/>
                      <w:bCs/>
                      <w:kern w:val="0"/>
                      <w:sz w:val="20"/>
                      <w:szCs w:val="20"/>
                    </w:rPr>
                    <w:tab/>
                  </w:r>
                  <w:r>
                    <w:rPr>
                      <w:rFonts w:hint="eastAsia" w:ascii="仿宋" w:hAnsi="仿宋" w:eastAsia="仿宋" w:cs="仿宋"/>
                      <w:bCs/>
                      <w:kern w:val="0"/>
                      <w:sz w:val="20"/>
                      <w:szCs w:val="20"/>
                    </w:rPr>
                    <w:t>集成的工作存储器用于程序≥1 MB，用于数据≥4.5 MB</w:t>
                  </w:r>
                </w:p>
                <w:p w14:paraId="51385860">
                  <w:pPr>
                    <w:widowControl/>
                    <w:rPr>
                      <w:rFonts w:hint="eastAsia" w:ascii="仿宋" w:hAnsi="仿宋" w:eastAsia="仿宋" w:cs="仿宋"/>
                      <w:bCs/>
                      <w:kern w:val="0"/>
                      <w:sz w:val="20"/>
                      <w:szCs w:val="20"/>
                    </w:rPr>
                  </w:pPr>
                  <w:r>
                    <w:rPr>
                      <w:rFonts w:hint="eastAsia" w:ascii="仿宋" w:hAnsi="仿宋" w:eastAsia="仿宋" w:cs="仿宋"/>
                      <w:bCs/>
                      <w:kern w:val="0"/>
                      <w:sz w:val="20"/>
                      <w:szCs w:val="20"/>
                    </w:rPr>
                    <w:t>2.</w:t>
                  </w:r>
                  <w:r>
                    <w:rPr>
                      <w:rFonts w:hint="eastAsia" w:ascii="仿宋" w:hAnsi="仿宋" w:eastAsia="仿宋" w:cs="仿宋"/>
                      <w:bCs/>
                      <w:kern w:val="0"/>
                      <w:sz w:val="20"/>
                      <w:szCs w:val="20"/>
                    </w:rPr>
                    <w:tab/>
                  </w:r>
                  <w:r>
                    <w:rPr>
                      <w:rFonts w:hint="eastAsia" w:ascii="仿宋" w:hAnsi="仿宋" w:eastAsia="仿宋" w:cs="仿宋"/>
                      <w:bCs/>
                      <w:kern w:val="0"/>
                      <w:sz w:val="20"/>
                      <w:szCs w:val="20"/>
                    </w:rPr>
                    <w:t>RJ45以太网接口数≥3个</w:t>
                  </w:r>
                </w:p>
                <w:p w14:paraId="4A334798">
                  <w:pPr>
                    <w:widowControl/>
                    <w:rPr>
                      <w:rFonts w:hint="eastAsia" w:ascii="仿宋" w:hAnsi="仿宋" w:eastAsia="仿宋" w:cs="仿宋"/>
                      <w:bCs/>
                      <w:kern w:val="0"/>
                      <w:sz w:val="20"/>
                      <w:szCs w:val="20"/>
                    </w:rPr>
                  </w:pPr>
                  <w:r>
                    <w:rPr>
                      <w:rFonts w:hint="eastAsia" w:ascii="仿宋" w:hAnsi="仿宋" w:eastAsia="仿宋" w:cs="仿宋"/>
                      <w:bCs/>
                      <w:kern w:val="0"/>
                      <w:sz w:val="20"/>
                      <w:szCs w:val="20"/>
                    </w:rPr>
                    <w:t>3.</w:t>
                  </w:r>
                  <w:r>
                    <w:rPr>
                      <w:rFonts w:hint="eastAsia" w:ascii="仿宋" w:hAnsi="仿宋" w:eastAsia="仿宋" w:cs="仿宋"/>
                      <w:bCs/>
                      <w:kern w:val="0"/>
                      <w:sz w:val="20"/>
                      <w:szCs w:val="20"/>
                    </w:rPr>
                    <w:tab/>
                  </w:r>
                  <w:r>
                    <w:rPr>
                      <w:rFonts w:hint="eastAsia" w:ascii="仿宋" w:hAnsi="仿宋" w:eastAsia="仿宋" w:cs="仿宋"/>
                      <w:bCs/>
                      <w:kern w:val="0"/>
                      <w:sz w:val="20"/>
                      <w:szCs w:val="20"/>
                    </w:rPr>
                    <w:t>支持SIMATIC，TCP/IP，ISO-on-TCP，UDP，OPC UA，MODBUS TCP等通讯协议</w:t>
                  </w:r>
                </w:p>
                <w:p w14:paraId="3919B384">
                  <w:pPr>
                    <w:widowControl/>
                    <w:rPr>
                      <w:rFonts w:hint="eastAsia" w:ascii="仿宋" w:hAnsi="仿宋" w:eastAsia="仿宋" w:cs="仿宋"/>
                      <w:bCs/>
                      <w:kern w:val="0"/>
                      <w:sz w:val="20"/>
                      <w:szCs w:val="20"/>
                    </w:rPr>
                  </w:pPr>
                  <w:r>
                    <w:rPr>
                      <w:rFonts w:hint="eastAsia" w:ascii="仿宋" w:hAnsi="仿宋" w:eastAsia="仿宋" w:cs="仿宋"/>
                      <w:bCs/>
                      <w:kern w:val="0"/>
                      <w:sz w:val="20"/>
                      <w:szCs w:val="20"/>
                    </w:rPr>
                    <w:t>4.</w:t>
                  </w:r>
                  <w:r>
                    <w:rPr>
                      <w:rFonts w:hint="eastAsia" w:ascii="仿宋" w:hAnsi="仿宋" w:eastAsia="仿宋" w:cs="仿宋"/>
                      <w:bCs/>
                      <w:kern w:val="0"/>
                      <w:sz w:val="20"/>
                      <w:szCs w:val="20"/>
                    </w:rPr>
                    <w:tab/>
                  </w:r>
                  <w:r>
                    <w:rPr>
                      <w:rFonts w:hint="eastAsia" w:ascii="仿宋" w:hAnsi="仿宋" w:eastAsia="仿宋" w:cs="仿宋"/>
                      <w:bCs/>
                      <w:kern w:val="0"/>
                      <w:sz w:val="20"/>
                      <w:szCs w:val="20"/>
                    </w:rPr>
                    <w:t>指令执行时间：位运算时间≤6 ns</w:t>
                  </w:r>
                </w:p>
              </w:tc>
            </w:tr>
            <w:tr w14:paraId="708B7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1" w:hRule="atLeast"/>
                <w:jc w:val="center"/>
              </w:trPr>
              <w:tc>
                <w:tcPr>
                  <w:tcW w:w="966" w:type="dxa"/>
                  <w:tcBorders>
                    <w:top w:val="single" w:color="auto" w:sz="4" w:space="0"/>
                    <w:left w:val="single" w:color="auto" w:sz="4" w:space="0"/>
                    <w:bottom w:val="single" w:color="auto" w:sz="4" w:space="0"/>
                    <w:right w:val="single" w:color="auto" w:sz="4" w:space="0"/>
                  </w:tcBorders>
                  <w:vAlign w:val="center"/>
                </w:tcPr>
                <w:p w14:paraId="6BD4B2D5">
                  <w:pPr>
                    <w:adjustRightInd w:val="0"/>
                    <w:jc w:val="center"/>
                    <w:textAlignment w:val="baseline"/>
                    <w:rPr>
                      <w:rFonts w:hint="eastAsia" w:ascii="仿宋" w:hAnsi="仿宋" w:eastAsia="仿宋" w:cs="仿宋"/>
                      <w:bCs/>
                      <w:kern w:val="0"/>
                      <w:sz w:val="20"/>
                      <w:szCs w:val="20"/>
                    </w:rPr>
                  </w:pPr>
                  <w:r>
                    <w:rPr>
                      <w:rFonts w:hint="eastAsia" w:ascii="仿宋" w:hAnsi="仿宋" w:eastAsia="仿宋" w:cs="仿宋"/>
                      <w:bCs/>
                      <w:kern w:val="0"/>
                      <w:sz w:val="20"/>
                      <w:szCs w:val="20"/>
                    </w:rPr>
                    <w:t>电源模块</w:t>
                  </w:r>
                </w:p>
              </w:tc>
              <w:tc>
                <w:tcPr>
                  <w:tcW w:w="4213" w:type="dxa"/>
                  <w:gridSpan w:val="2"/>
                  <w:tcBorders>
                    <w:top w:val="single" w:color="auto" w:sz="4" w:space="0"/>
                    <w:left w:val="single" w:color="auto" w:sz="4" w:space="0"/>
                    <w:bottom w:val="single" w:color="auto" w:sz="4" w:space="0"/>
                    <w:right w:val="single" w:color="auto" w:sz="4" w:space="0"/>
                  </w:tcBorders>
                  <w:vAlign w:val="center"/>
                </w:tcPr>
                <w:p w14:paraId="1D04E5DE">
                  <w:pPr>
                    <w:widowControl/>
                    <w:jc w:val="left"/>
                    <w:rPr>
                      <w:rFonts w:hint="eastAsia" w:ascii="仿宋" w:hAnsi="仿宋" w:eastAsia="仿宋" w:cs="仿宋"/>
                      <w:bCs/>
                      <w:kern w:val="0"/>
                      <w:sz w:val="20"/>
                      <w:szCs w:val="20"/>
                    </w:rPr>
                  </w:pPr>
                  <w:r>
                    <w:rPr>
                      <w:rFonts w:hint="eastAsia" w:ascii="仿宋" w:hAnsi="仿宋" w:eastAsia="仿宋" w:cs="仿宋"/>
                      <w:bCs/>
                      <w:kern w:val="0"/>
                      <w:sz w:val="20"/>
                      <w:szCs w:val="20"/>
                    </w:rPr>
                    <w:t>1.</w:t>
                  </w:r>
                  <w:r>
                    <w:rPr>
                      <w:rFonts w:hint="eastAsia" w:ascii="仿宋" w:hAnsi="仿宋" w:eastAsia="仿宋" w:cs="仿宋"/>
                      <w:bCs/>
                      <w:kern w:val="0"/>
                      <w:sz w:val="20"/>
                      <w:szCs w:val="20"/>
                    </w:rPr>
                    <w:tab/>
                  </w:r>
                  <w:r>
                    <w:rPr>
                      <w:rFonts w:hint="eastAsia" w:ascii="仿宋" w:hAnsi="仿宋" w:eastAsia="仿宋" w:cs="仿宋"/>
                      <w:bCs/>
                      <w:kern w:val="0"/>
                      <w:sz w:val="20"/>
                      <w:szCs w:val="20"/>
                    </w:rPr>
                    <w:t>CPU模块专用</w:t>
                  </w:r>
                </w:p>
                <w:p w14:paraId="214E0507">
                  <w:pPr>
                    <w:widowControl/>
                    <w:jc w:val="left"/>
                    <w:rPr>
                      <w:rFonts w:hint="eastAsia" w:ascii="仿宋" w:hAnsi="仿宋" w:eastAsia="仿宋" w:cs="仿宋"/>
                      <w:bCs/>
                      <w:kern w:val="0"/>
                      <w:sz w:val="20"/>
                      <w:szCs w:val="20"/>
                    </w:rPr>
                  </w:pPr>
                  <w:r>
                    <w:rPr>
                      <w:rFonts w:hint="eastAsia" w:ascii="仿宋" w:hAnsi="仿宋" w:eastAsia="仿宋" w:cs="仿宋"/>
                      <w:bCs/>
                      <w:kern w:val="0"/>
                      <w:sz w:val="20"/>
                      <w:szCs w:val="20"/>
                    </w:rPr>
                    <w:t>2.</w:t>
                  </w:r>
                  <w:r>
                    <w:rPr>
                      <w:rFonts w:hint="eastAsia" w:ascii="仿宋" w:hAnsi="仿宋" w:eastAsia="仿宋" w:cs="仿宋"/>
                      <w:bCs/>
                      <w:kern w:val="0"/>
                      <w:sz w:val="20"/>
                      <w:szCs w:val="20"/>
                    </w:rPr>
                    <w:tab/>
                  </w:r>
                  <w:r>
                    <w:rPr>
                      <w:rFonts w:hint="eastAsia" w:ascii="仿宋" w:hAnsi="仿宋" w:eastAsia="仿宋" w:cs="仿宋"/>
                      <w:bCs/>
                      <w:kern w:val="0"/>
                      <w:sz w:val="20"/>
                      <w:szCs w:val="20"/>
                    </w:rPr>
                    <w:t>输入电压：可适应170～264 V AC 的单相交流电压，能够连接至所有50 Hz的单相电网</w:t>
                  </w:r>
                </w:p>
                <w:p w14:paraId="66634763">
                  <w:pPr>
                    <w:widowControl/>
                    <w:jc w:val="left"/>
                    <w:rPr>
                      <w:rFonts w:hint="eastAsia" w:ascii="仿宋" w:hAnsi="仿宋" w:eastAsia="仿宋" w:cs="仿宋"/>
                      <w:bCs/>
                      <w:kern w:val="0"/>
                      <w:sz w:val="20"/>
                      <w:szCs w:val="20"/>
                    </w:rPr>
                  </w:pPr>
                  <w:r>
                    <w:rPr>
                      <w:rFonts w:hint="eastAsia" w:ascii="仿宋" w:hAnsi="仿宋" w:eastAsia="仿宋" w:cs="仿宋"/>
                      <w:bCs/>
                      <w:kern w:val="0"/>
                      <w:sz w:val="20"/>
                      <w:szCs w:val="20"/>
                    </w:rPr>
                    <w:t>3.</w:t>
                  </w:r>
                  <w:r>
                    <w:rPr>
                      <w:rFonts w:hint="eastAsia" w:ascii="仿宋" w:hAnsi="仿宋" w:eastAsia="仿宋" w:cs="仿宋"/>
                      <w:bCs/>
                      <w:kern w:val="0"/>
                      <w:sz w:val="20"/>
                      <w:szCs w:val="20"/>
                    </w:rPr>
                    <w:tab/>
                  </w:r>
                  <w:r>
                    <w:rPr>
                      <w:rFonts w:hint="eastAsia" w:ascii="仿宋" w:hAnsi="仿宋" w:eastAsia="仿宋" w:cs="仿宋"/>
                      <w:bCs/>
                      <w:kern w:val="0"/>
                      <w:sz w:val="20"/>
                      <w:szCs w:val="20"/>
                    </w:rPr>
                    <w:t>输出电压：24 V DC，上限为28 V DC，以避免对负载造成损坏</w:t>
                  </w:r>
                </w:p>
                <w:p w14:paraId="5ECFB1E4">
                  <w:pPr>
                    <w:widowControl/>
                    <w:jc w:val="left"/>
                    <w:rPr>
                      <w:rFonts w:hint="eastAsia" w:ascii="仿宋" w:hAnsi="仿宋" w:eastAsia="仿宋" w:cs="仿宋"/>
                      <w:bCs/>
                      <w:kern w:val="0"/>
                      <w:sz w:val="20"/>
                      <w:szCs w:val="20"/>
                    </w:rPr>
                  </w:pPr>
                  <w:r>
                    <w:rPr>
                      <w:rFonts w:hint="eastAsia" w:ascii="仿宋" w:hAnsi="仿宋" w:eastAsia="仿宋" w:cs="仿宋"/>
                      <w:bCs/>
                      <w:kern w:val="0"/>
                      <w:sz w:val="20"/>
                      <w:szCs w:val="20"/>
                    </w:rPr>
                    <w:t>4.</w:t>
                  </w:r>
                  <w:r>
                    <w:rPr>
                      <w:rFonts w:hint="eastAsia" w:ascii="仿宋" w:hAnsi="仿宋" w:eastAsia="仿宋" w:cs="仿宋"/>
                      <w:bCs/>
                      <w:kern w:val="0"/>
                      <w:sz w:val="20"/>
                      <w:szCs w:val="20"/>
                    </w:rPr>
                    <w:tab/>
                  </w:r>
                  <w:r>
                    <w:rPr>
                      <w:rFonts w:hint="eastAsia" w:ascii="仿宋" w:hAnsi="仿宋" w:eastAsia="仿宋" w:cs="仿宋"/>
                      <w:bCs/>
                      <w:kern w:val="0"/>
                      <w:sz w:val="20"/>
                      <w:szCs w:val="20"/>
                    </w:rPr>
                    <w:t>输出电流：≥8 A（功率≥192 W）</w:t>
                  </w:r>
                </w:p>
              </w:tc>
            </w:tr>
            <w:tr w14:paraId="5DA94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966" w:type="dxa"/>
                  <w:tcBorders>
                    <w:top w:val="single" w:color="auto" w:sz="4" w:space="0"/>
                    <w:left w:val="single" w:color="auto" w:sz="4" w:space="0"/>
                    <w:bottom w:val="single" w:color="auto" w:sz="4" w:space="0"/>
                    <w:right w:val="single" w:color="auto" w:sz="4" w:space="0"/>
                  </w:tcBorders>
                  <w:vAlign w:val="center"/>
                </w:tcPr>
                <w:p w14:paraId="64297A43">
                  <w:pPr>
                    <w:adjustRightInd w:val="0"/>
                    <w:jc w:val="center"/>
                    <w:textAlignment w:val="baseline"/>
                    <w:rPr>
                      <w:rFonts w:hint="eastAsia" w:ascii="仿宋" w:hAnsi="仿宋" w:eastAsia="仿宋" w:cs="仿宋"/>
                      <w:bCs/>
                      <w:kern w:val="0"/>
                      <w:sz w:val="20"/>
                      <w:szCs w:val="20"/>
                    </w:rPr>
                  </w:pPr>
                  <w:r>
                    <w:rPr>
                      <w:rFonts w:hint="eastAsia" w:ascii="仿宋" w:hAnsi="仿宋" w:eastAsia="仿宋" w:cs="仿宋"/>
                      <w:bCs/>
                      <w:kern w:val="0"/>
                      <w:sz w:val="20"/>
                      <w:szCs w:val="20"/>
                    </w:rPr>
                    <w:t>数字量输入模块</w:t>
                  </w:r>
                </w:p>
              </w:tc>
              <w:tc>
                <w:tcPr>
                  <w:tcW w:w="4213" w:type="dxa"/>
                  <w:gridSpan w:val="2"/>
                  <w:tcBorders>
                    <w:top w:val="single" w:color="auto" w:sz="4" w:space="0"/>
                    <w:left w:val="single" w:color="auto" w:sz="4" w:space="0"/>
                    <w:bottom w:val="single" w:color="auto" w:sz="4" w:space="0"/>
                    <w:right w:val="single" w:color="auto" w:sz="4" w:space="0"/>
                  </w:tcBorders>
                  <w:vAlign w:val="center"/>
                </w:tcPr>
                <w:p w14:paraId="3281DF0D">
                  <w:pPr>
                    <w:widowControl/>
                    <w:jc w:val="left"/>
                    <w:rPr>
                      <w:rFonts w:hint="eastAsia" w:ascii="仿宋" w:hAnsi="仿宋" w:eastAsia="仿宋" w:cs="仿宋"/>
                      <w:bCs/>
                      <w:kern w:val="0"/>
                      <w:sz w:val="20"/>
                      <w:szCs w:val="20"/>
                    </w:rPr>
                  </w:pPr>
                  <w:r>
                    <w:rPr>
                      <w:rFonts w:hint="eastAsia" w:ascii="仿宋" w:hAnsi="仿宋" w:eastAsia="仿宋" w:cs="仿宋"/>
                      <w:bCs/>
                      <w:kern w:val="0"/>
                      <w:sz w:val="20"/>
                      <w:szCs w:val="20"/>
                    </w:rPr>
                    <w:t>1.</w:t>
                  </w:r>
                  <w:r>
                    <w:rPr>
                      <w:rFonts w:hint="eastAsia" w:ascii="仿宋" w:hAnsi="仿宋" w:eastAsia="仿宋" w:cs="仿宋"/>
                      <w:bCs/>
                      <w:kern w:val="0"/>
                      <w:sz w:val="20"/>
                      <w:szCs w:val="20"/>
                    </w:rPr>
                    <w:tab/>
                  </w:r>
                  <w:r>
                    <w:rPr>
                      <w:rFonts w:hint="eastAsia" w:ascii="仿宋" w:hAnsi="仿宋" w:eastAsia="仿宋" w:cs="仿宋"/>
                      <w:bCs/>
                      <w:kern w:val="0"/>
                      <w:sz w:val="20"/>
                      <w:szCs w:val="20"/>
                    </w:rPr>
                    <w:t>DI 32×DC 24 V，32条通道</w:t>
                  </w:r>
                </w:p>
                <w:p w14:paraId="67852022">
                  <w:pPr>
                    <w:widowControl/>
                    <w:jc w:val="left"/>
                    <w:rPr>
                      <w:rFonts w:hint="eastAsia" w:ascii="仿宋" w:hAnsi="仿宋" w:eastAsia="仿宋" w:cs="仿宋"/>
                      <w:bCs/>
                      <w:kern w:val="0"/>
                      <w:sz w:val="20"/>
                      <w:szCs w:val="20"/>
                    </w:rPr>
                  </w:pPr>
                  <w:r>
                    <w:rPr>
                      <w:rFonts w:hint="eastAsia" w:ascii="仿宋" w:hAnsi="仿宋" w:eastAsia="仿宋" w:cs="仿宋"/>
                      <w:bCs/>
                      <w:kern w:val="0"/>
                      <w:sz w:val="20"/>
                      <w:szCs w:val="20"/>
                    </w:rPr>
                    <w:t>2.</w:t>
                  </w:r>
                  <w:r>
                    <w:rPr>
                      <w:rFonts w:hint="eastAsia" w:ascii="仿宋" w:hAnsi="仿宋" w:eastAsia="仿宋" w:cs="仿宋"/>
                      <w:bCs/>
                      <w:kern w:val="0"/>
                      <w:sz w:val="20"/>
                      <w:szCs w:val="20"/>
                    </w:rPr>
                    <w:tab/>
                  </w:r>
                  <w:r>
                    <w:rPr>
                      <w:rFonts w:hint="eastAsia" w:ascii="仿宋" w:hAnsi="仿宋" w:eastAsia="仿宋" w:cs="仿宋"/>
                      <w:bCs/>
                      <w:kern w:val="0"/>
                      <w:sz w:val="20"/>
                      <w:szCs w:val="20"/>
                    </w:rPr>
                    <w:t>输入延迟≤3.2 ms</w:t>
                  </w:r>
                </w:p>
                <w:p w14:paraId="32CBF462">
                  <w:pPr>
                    <w:widowControl/>
                    <w:jc w:val="left"/>
                    <w:rPr>
                      <w:rFonts w:hint="eastAsia" w:ascii="仿宋" w:hAnsi="仿宋" w:eastAsia="仿宋" w:cs="仿宋"/>
                      <w:bCs/>
                      <w:kern w:val="0"/>
                      <w:sz w:val="20"/>
                      <w:szCs w:val="20"/>
                    </w:rPr>
                  </w:pPr>
                  <w:r>
                    <w:rPr>
                      <w:rFonts w:hint="eastAsia" w:ascii="仿宋" w:hAnsi="仿宋" w:eastAsia="仿宋" w:cs="仿宋"/>
                      <w:bCs/>
                      <w:kern w:val="0"/>
                      <w:sz w:val="20"/>
                      <w:szCs w:val="20"/>
                    </w:rPr>
                    <w:t>3.</w:t>
                  </w:r>
                  <w:r>
                    <w:rPr>
                      <w:rFonts w:hint="eastAsia" w:ascii="仿宋" w:hAnsi="仿宋" w:eastAsia="仿宋" w:cs="仿宋"/>
                      <w:bCs/>
                      <w:kern w:val="0"/>
                      <w:sz w:val="20"/>
                      <w:szCs w:val="20"/>
                    </w:rPr>
                    <w:tab/>
                  </w:r>
                  <w:r>
                    <w:rPr>
                      <w:rFonts w:hint="eastAsia" w:ascii="仿宋" w:hAnsi="仿宋" w:eastAsia="仿宋" w:cs="仿宋"/>
                      <w:bCs/>
                      <w:kern w:val="0"/>
                      <w:sz w:val="20"/>
                      <w:szCs w:val="20"/>
                    </w:rPr>
                    <w:t>包含前连接器 直插式</w:t>
                  </w:r>
                </w:p>
              </w:tc>
            </w:tr>
            <w:tr w14:paraId="27AF7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4" w:hRule="atLeast"/>
                <w:jc w:val="center"/>
              </w:trPr>
              <w:tc>
                <w:tcPr>
                  <w:tcW w:w="966" w:type="dxa"/>
                  <w:tcBorders>
                    <w:top w:val="single" w:color="auto" w:sz="4" w:space="0"/>
                    <w:left w:val="single" w:color="auto" w:sz="4" w:space="0"/>
                    <w:bottom w:val="single" w:color="auto" w:sz="4" w:space="0"/>
                    <w:right w:val="single" w:color="auto" w:sz="4" w:space="0"/>
                  </w:tcBorders>
                  <w:vAlign w:val="center"/>
                </w:tcPr>
                <w:p w14:paraId="01805396">
                  <w:pPr>
                    <w:adjustRightInd w:val="0"/>
                    <w:jc w:val="center"/>
                    <w:textAlignment w:val="baseline"/>
                    <w:rPr>
                      <w:rFonts w:hint="eastAsia" w:ascii="仿宋" w:hAnsi="仿宋" w:eastAsia="仿宋" w:cs="仿宋"/>
                      <w:bCs/>
                      <w:kern w:val="0"/>
                      <w:sz w:val="20"/>
                      <w:szCs w:val="20"/>
                    </w:rPr>
                  </w:pPr>
                  <w:r>
                    <w:rPr>
                      <w:rFonts w:hint="eastAsia" w:ascii="仿宋" w:hAnsi="仿宋" w:eastAsia="仿宋" w:cs="仿宋"/>
                      <w:bCs/>
                      <w:kern w:val="0"/>
                      <w:sz w:val="20"/>
                      <w:szCs w:val="20"/>
                    </w:rPr>
                    <w:t>数字量输出模块</w:t>
                  </w:r>
                </w:p>
              </w:tc>
              <w:tc>
                <w:tcPr>
                  <w:tcW w:w="4213" w:type="dxa"/>
                  <w:gridSpan w:val="2"/>
                  <w:tcBorders>
                    <w:top w:val="single" w:color="auto" w:sz="4" w:space="0"/>
                    <w:left w:val="single" w:color="auto" w:sz="4" w:space="0"/>
                    <w:bottom w:val="single" w:color="auto" w:sz="4" w:space="0"/>
                    <w:right w:val="single" w:color="auto" w:sz="4" w:space="0"/>
                  </w:tcBorders>
                  <w:vAlign w:val="center"/>
                </w:tcPr>
                <w:p w14:paraId="136A0309">
                  <w:pPr>
                    <w:widowControl/>
                    <w:numPr>
                      <w:ilvl w:val="0"/>
                      <w:numId w:val="1"/>
                    </w:numPr>
                    <w:jc w:val="left"/>
                    <w:rPr>
                      <w:rFonts w:hint="eastAsia" w:ascii="仿宋" w:hAnsi="仿宋" w:eastAsia="仿宋" w:cs="仿宋"/>
                      <w:bCs/>
                      <w:kern w:val="0"/>
                      <w:sz w:val="20"/>
                      <w:szCs w:val="20"/>
                    </w:rPr>
                  </w:pPr>
                  <w:r>
                    <w:rPr>
                      <w:rFonts w:hint="eastAsia" w:ascii="仿宋" w:hAnsi="仿宋" w:eastAsia="仿宋" w:cs="仿宋"/>
                      <w:bCs/>
                      <w:kern w:val="0"/>
                      <w:sz w:val="20"/>
                      <w:szCs w:val="20"/>
                    </w:rPr>
                    <w:t>DQ 32×DC 24V/0.5 A</w:t>
                  </w:r>
                </w:p>
                <w:p w14:paraId="02711D6E">
                  <w:pPr>
                    <w:widowControl/>
                    <w:numPr>
                      <w:ilvl w:val="0"/>
                      <w:numId w:val="1"/>
                    </w:numPr>
                    <w:jc w:val="left"/>
                    <w:rPr>
                      <w:rFonts w:hint="eastAsia" w:ascii="仿宋" w:hAnsi="仿宋" w:eastAsia="仿宋" w:cs="仿宋"/>
                      <w:bCs/>
                      <w:kern w:val="0"/>
                      <w:sz w:val="20"/>
                      <w:szCs w:val="20"/>
                    </w:rPr>
                  </w:pPr>
                  <w:r>
                    <w:rPr>
                      <w:rFonts w:hint="eastAsia" w:ascii="仿宋" w:hAnsi="仿宋" w:eastAsia="仿宋" w:cs="仿宋"/>
                      <w:bCs/>
                      <w:kern w:val="0"/>
                      <w:sz w:val="20"/>
                      <w:szCs w:val="20"/>
                    </w:rPr>
                    <w:t xml:space="preserve">32 条通道 </w:t>
                  </w:r>
                </w:p>
                <w:p w14:paraId="41268AC0">
                  <w:pPr>
                    <w:widowControl/>
                    <w:numPr>
                      <w:ilvl w:val="0"/>
                      <w:numId w:val="1"/>
                    </w:numPr>
                    <w:jc w:val="left"/>
                    <w:rPr>
                      <w:rFonts w:hint="eastAsia" w:ascii="仿宋" w:hAnsi="仿宋" w:eastAsia="仿宋" w:cs="仿宋"/>
                      <w:bCs/>
                      <w:kern w:val="0"/>
                      <w:sz w:val="20"/>
                      <w:szCs w:val="20"/>
                    </w:rPr>
                  </w:pPr>
                  <w:r>
                    <w:rPr>
                      <w:rFonts w:hint="eastAsia" w:ascii="仿宋" w:hAnsi="仿宋" w:eastAsia="仿宋" w:cs="仿宋"/>
                      <w:bCs/>
                      <w:kern w:val="0"/>
                      <w:sz w:val="20"/>
                      <w:szCs w:val="20"/>
                    </w:rPr>
                    <w:t>单通道诊断，包含直插式前连接器</w:t>
                  </w:r>
                </w:p>
              </w:tc>
            </w:tr>
            <w:tr w14:paraId="7F40F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jc w:val="center"/>
              </w:trPr>
              <w:tc>
                <w:tcPr>
                  <w:tcW w:w="966" w:type="dxa"/>
                  <w:tcBorders>
                    <w:top w:val="single" w:color="auto" w:sz="4" w:space="0"/>
                    <w:left w:val="single" w:color="auto" w:sz="4" w:space="0"/>
                    <w:bottom w:val="single" w:color="auto" w:sz="4" w:space="0"/>
                    <w:right w:val="single" w:color="auto" w:sz="4" w:space="0"/>
                  </w:tcBorders>
                  <w:vAlign w:val="center"/>
                </w:tcPr>
                <w:p w14:paraId="2B4A2BF8">
                  <w:pPr>
                    <w:adjustRightInd w:val="0"/>
                    <w:jc w:val="center"/>
                    <w:textAlignment w:val="baseline"/>
                    <w:rPr>
                      <w:rFonts w:hint="eastAsia" w:ascii="仿宋" w:hAnsi="仿宋" w:eastAsia="仿宋" w:cs="仿宋"/>
                      <w:bCs/>
                      <w:kern w:val="0"/>
                      <w:sz w:val="20"/>
                      <w:szCs w:val="20"/>
                    </w:rPr>
                  </w:pPr>
                  <w:r>
                    <w:rPr>
                      <w:rFonts w:hint="eastAsia" w:ascii="仿宋" w:hAnsi="仿宋" w:eastAsia="仿宋" w:cs="仿宋"/>
                      <w:bCs/>
                      <w:kern w:val="0"/>
                      <w:sz w:val="20"/>
                      <w:szCs w:val="20"/>
                    </w:rPr>
                    <w:t>模拟量输入模块</w:t>
                  </w:r>
                </w:p>
              </w:tc>
              <w:tc>
                <w:tcPr>
                  <w:tcW w:w="4213" w:type="dxa"/>
                  <w:gridSpan w:val="2"/>
                  <w:tcBorders>
                    <w:top w:val="single" w:color="auto" w:sz="4" w:space="0"/>
                    <w:left w:val="single" w:color="auto" w:sz="4" w:space="0"/>
                    <w:bottom w:val="single" w:color="auto" w:sz="4" w:space="0"/>
                    <w:right w:val="single" w:color="auto" w:sz="4" w:space="0"/>
                  </w:tcBorders>
                  <w:vAlign w:val="center"/>
                </w:tcPr>
                <w:p w14:paraId="3AD83B9A">
                  <w:pPr>
                    <w:widowControl/>
                    <w:numPr>
                      <w:ilvl w:val="0"/>
                      <w:numId w:val="2"/>
                    </w:numPr>
                    <w:jc w:val="left"/>
                    <w:rPr>
                      <w:rFonts w:hint="eastAsia" w:ascii="仿宋" w:hAnsi="仿宋" w:eastAsia="仿宋" w:cs="仿宋"/>
                      <w:bCs/>
                      <w:kern w:val="0"/>
                      <w:sz w:val="20"/>
                      <w:szCs w:val="20"/>
                    </w:rPr>
                  </w:pPr>
                  <w:r>
                    <w:rPr>
                      <w:rFonts w:hint="eastAsia" w:ascii="仿宋" w:hAnsi="仿宋" w:eastAsia="仿宋" w:cs="仿宋"/>
                      <w:bCs/>
                      <w:kern w:val="0"/>
                      <w:sz w:val="20"/>
                      <w:szCs w:val="20"/>
                    </w:rPr>
                    <w:t xml:space="preserve">AI 8×U/I/RTD/TC ST，≥16 位分辨率 ，精度≤0.3% </w:t>
                  </w:r>
                </w:p>
                <w:p w14:paraId="36668857">
                  <w:pPr>
                    <w:widowControl/>
                    <w:numPr>
                      <w:ilvl w:val="0"/>
                      <w:numId w:val="2"/>
                    </w:numPr>
                    <w:jc w:val="left"/>
                    <w:rPr>
                      <w:rFonts w:hint="eastAsia" w:ascii="仿宋" w:hAnsi="仿宋" w:eastAsia="仿宋" w:cs="仿宋"/>
                      <w:bCs/>
                      <w:kern w:val="0"/>
                      <w:sz w:val="20"/>
                      <w:szCs w:val="20"/>
                    </w:rPr>
                  </w:pPr>
                  <w:r>
                    <w:rPr>
                      <w:rFonts w:hint="eastAsia" w:ascii="仿宋" w:hAnsi="仿宋" w:eastAsia="仿宋" w:cs="仿宋"/>
                      <w:bCs/>
                      <w:kern w:val="0"/>
                      <w:sz w:val="20"/>
                      <w:szCs w:val="20"/>
                    </w:rPr>
                    <w:t>8通道，包含直插式前连接器</w:t>
                  </w:r>
                </w:p>
              </w:tc>
            </w:tr>
            <w:tr w14:paraId="375D8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966" w:type="dxa"/>
                  <w:tcBorders>
                    <w:top w:val="single" w:color="auto" w:sz="4" w:space="0"/>
                    <w:left w:val="single" w:color="auto" w:sz="4" w:space="0"/>
                    <w:bottom w:val="single" w:color="auto" w:sz="4" w:space="0"/>
                    <w:right w:val="single" w:color="auto" w:sz="4" w:space="0"/>
                  </w:tcBorders>
                  <w:vAlign w:val="center"/>
                </w:tcPr>
                <w:p w14:paraId="7DDF02F5">
                  <w:pPr>
                    <w:adjustRightInd w:val="0"/>
                    <w:jc w:val="center"/>
                    <w:textAlignment w:val="baseline"/>
                    <w:rPr>
                      <w:rFonts w:hint="eastAsia" w:ascii="仿宋" w:hAnsi="仿宋" w:eastAsia="仿宋" w:cs="仿宋"/>
                      <w:bCs/>
                      <w:kern w:val="0"/>
                      <w:sz w:val="20"/>
                      <w:szCs w:val="20"/>
                    </w:rPr>
                  </w:pPr>
                  <w:r>
                    <w:rPr>
                      <w:rFonts w:hint="eastAsia" w:ascii="仿宋" w:hAnsi="仿宋" w:eastAsia="仿宋" w:cs="仿宋"/>
                      <w:bCs/>
                      <w:kern w:val="0"/>
                      <w:sz w:val="20"/>
                      <w:szCs w:val="20"/>
                    </w:rPr>
                    <w:t>装载内存卡</w:t>
                  </w:r>
                </w:p>
              </w:tc>
              <w:tc>
                <w:tcPr>
                  <w:tcW w:w="4213" w:type="dxa"/>
                  <w:gridSpan w:val="2"/>
                  <w:tcBorders>
                    <w:top w:val="single" w:color="auto" w:sz="4" w:space="0"/>
                    <w:left w:val="single" w:color="auto" w:sz="4" w:space="0"/>
                    <w:bottom w:val="single" w:color="auto" w:sz="4" w:space="0"/>
                    <w:right w:val="single" w:color="auto" w:sz="4" w:space="0"/>
                  </w:tcBorders>
                  <w:vAlign w:val="center"/>
                </w:tcPr>
                <w:p w14:paraId="61036A22">
                  <w:pPr>
                    <w:widowControl/>
                    <w:jc w:val="left"/>
                    <w:rPr>
                      <w:rFonts w:hint="eastAsia" w:ascii="仿宋" w:hAnsi="仿宋" w:eastAsia="仿宋" w:cs="仿宋"/>
                      <w:bCs/>
                      <w:kern w:val="0"/>
                      <w:sz w:val="20"/>
                      <w:szCs w:val="20"/>
                    </w:rPr>
                  </w:pPr>
                  <w:r>
                    <w:rPr>
                      <w:rFonts w:hint="eastAsia" w:ascii="仿宋" w:hAnsi="仿宋" w:eastAsia="仿宋" w:cs="仿宋"/>
                      <w:bCs/>
                      <w:kern w:val="0"/>
                      <w:sz w:val="20"/>
                      <w:szCs w:val="20"/>
                    </w:rPr>
                    <w:t>CPU模块专用，≥24 MB</w:t>
                  </w:r>
                </w:p>
              </w:tc>
            </w:tr>
            <w:tr w14:paraId="70A05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1" w:hRule="atLeast"/>
                <w:jc w:val="center"/>
              </w:trPr>
              <w:tc>
                <w:tcPr>
                  <w:tcW w:w="966" w:type="dxa"/>
                  <w:tcBorders>
                    <w:top w:val="single" w:color="auto" w:sz="4" w:space="0"/>
                    <w:left w:val="single" w:color="auto" w:sz="4" w:space="0"/>
                    <w:bottom w:val="single" w:color="auto" w:sz="4" w:space="0"/>
                    <w:right w:val="single" w:color="auto" w:sz="4" w:space="0"/>
                  </w:tcBorders>
                  <w:vAlign w:val="center"/>
                </w:tcPr>
                <w:p w14:paraId="56AC35E4">
                  <w:pPr>
                    <w:adjustRightInd w:val="0"/>
                    <w:jc w:val="center"/>
                    <w:textAlignment w:val="baseline"/>
                    <w:rPr>
                      <w:rFonts w:hint="eastAsia" w:ascii="仿宋" w:hAnsi="仿宋" w:eastAsia="仿宋" w:cs="仿宋"/>
                      <w:bCs/>
                      <w:kern w:val="0"/>
                      <w:sz w:val="20"/>
                      <w:szCs w:val="20"/>
                    </w:rPr>
                  </w:pPr>
                  <w:r>
                    <w:rPr>
                      <w:rFonts w:hint="eastAsia" w:ascii="仿宋" w:hAnsi="仿宋" w:eastAsia="仿宋" w:cs="仿宋"/>
                      <w:bCs/>
                      <w:kern w:val="0"/>
                      <w:sz w:val="20"/>
                      <w:szCs w:val="20"/>
                    </w:rPr>
                    <w:t>继电器</w:t>
                  </w:r>
                </w:p>
              </w:tc>
              <w:tc>
                <w:tcPr>
                  <w:tcW w:w="4213" w:type="dxa"/>
                  <w:gridSpan w:val="2"/>
                  <w:tcBorders>
                    <w:top w:val="single" w:color="auto" w:sz="4" w:space="0"/>
                    <w:left w:val="single" w:color="auto" w:sz="4" w:space="0"/>
                    <w:bottom w:val="single" w:color="auto" w:sz="4" w:space="0"/>
                    <w:right w:val="single" w:color="auto" w:sz="4" w:space="0"/>
                  </w:tcBorders>
                  <w:vAlign w:val="center"/>
                </w:tcPr>
                <w:p w14:paraId="3BCF0204">
                  <w:pPr>
                    <w:widowControl/>
                    <w:numPr>
                      <w:ilvl w:val="0"/>
                      <w:numId w:val="3"/>
                    </w:numPr>
                    <w:jc w:val="left"/>
                    <w:rPr>
                      <w:rFonts w:hint="eastAsia" w:ascii="仿宋" w:hAnsi="仿宋" w:eastAsia="仿宋" w:cs="仿宋"/>
                      <w:bCs/>
                      <w:kern w:val="0"/>
                      <w:sz w:val="20"/>
                      <w:szCs w:val="20"/>
                    </w:rPr>
                  </w:pPr>
                  <w:r>
                    <w:rPr>
                      <w:rFonts w:hint="eastAsia" w:ascii="仿宋" w:hAnsi="仿宋" w:eastAsia="仿宋" w:cs="仿宋"/>
                      <w:bCs/>
                      <w:kern w:val="0"/>
                      <w:sz w:val="20"/>
                      <w:szCs w:val="20"/>
                    </w:rPr>
                    <w:t>宽度≤13 mm</w:t>
                  </w:r>
                </w:p>
                <w:p w14:paraId="02802A4A">
                  <w:pPr>
                    <w:widowControl/>
                    <w:numPr>
                      <w:ilvl w:val="0"/>
                      <w:numId w:val="3"/>
                    </w:numPr>
                    <w:jc w:val="left"/>
                    <w:rPr>
                      <w:rFonts w:hint="eastAsia" w:ascii="仿宋" w:hAnsi="仿宋" w:eastAsia="仿宋" w:cs="仿宋"/>
                      <w:bCs/>
                      <w:kern w:val="0"/>
                      <w:sz w:val="20"/>
                      <w:szCs w:val="20"/>
                    </w:rPr>
                  </w:pPr>
                  <w:r>
                    <w:rPr>
                      <w:rFonts w:hint="eastAsia" w:ascii="仿宋" w:hAnsi="仿宋" w:eastAsia="仿宋" w:cs="仿宋"/>
                      <w:bCs/>
                      <w:kern w:val="0"/>
                      <w:sz w:val="20"/>
                      <w:szCs w:val="20"/>
                    </w:rPr>
                    <w:t>额定电流8 A，线圈额定电压24 V DC，触点结构二开二闭，触点材料为银镍</w:t>
                  </w:r>
                </w:p>
                <w:p w14:paraId="4A1F3FC7">
                  <w:pPr>
                    <w:widowControl/>
                    <w:numPr>
                      <w:ilvl w:val="0"/>
                      <w:numId w:val="3"/>
                    </w:numPr>
                    <w:jc w:val="left"/>
                    <w:rPr>
                      <w:rFonts w:hint="eastAsia" w:ascii="仿宋" w:hAnsi="仿宋" w:eastAsia="仿宋" w:cs="仿宋"/>
                      <w:bCs/>
                      <w:kern w:val="0"/>
                      <w:sz w:val="20"/>
                      <w:szCs w:val="20"/>
                    </w:rPr>
                  </w:pPr>
                  <w:r>
                    <w:rPr>
                      <w:rFonts w:hint="eastAsia" w:ascii="仿宋" w:hAnsi="仿宋" w:eastAsia="仿宋" w:cs="仿宋"/>
                      <w:bCs/>
                      <w:kern w:val="0"/>
                      <w:sz w:val="20"/>
                      <w:szCs w:val="20"/>
                    </w:rPr>
                    <w:t>保护等级：≥IP40（封闭型）</w:t>
                  </w:r>
                </w:p>
                <w:p w14:paraId="451D1047">
                  <w:pPr>
                    <w:widowControl/>
                    <w:numPr>
                      <w:ilvl w:val="0"/>
                      <w:numId w:val="3"/>
                    </w:numPr>
                    <w:jc w:val="left"/>
                    <w:rPr>
                      <w:rFonts w:hint="eastAsia" w:ascii="仿宋" w:hAnsi="仿宋" w:eastAsia="仿宋" w:cs="仿宋"/>
                      <w:bCs/>
                      <w:kern w:val="0"/>
                      <w:sz w:val="20"/>
                      <w:szCs w:val="20"/>
                    </w:rPr>
                  </w:pPr>
                  <w:r>
                    <w:rPr>
                      <w:rFonts w:hint="eastAsia" w:ascii="仿宋" w:hAnsi="仿宋" w:eastAsia="仿宋" w:cs="仿宋"/>
                      <w:bCs/>
                      <w:kern w:val="0"/>
                      <w:sz w:val="20"/>
                      <w:szCs w:val="20"/>
                    </w:rPr>
                    <w:t>吸合时间≤15 ms，释放时间≤10 ms</w:t>
                  </w:r>
                </w:p>
              </w:tc>
            </w:tr>
            <w:tr w14:paraId="610AB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2" w:hRule="atLeast"/>
                <w:jc w:val="center"/>
              </w:trPr>
              <w:tc>
                <w:tcPr>
                  <w:tcW w:w="966" w:type="dxa"/>
                  <w:tcBorders>
                    <w:top w:val="single" w:color="auto" w:sz="4" w:space="0"/>
                    <w:left w:val="single" w:color="auto" w:sz="4" w:space="0"/>
                    <w:bottom w:val="single" w:color="auto" w:sz="4" w:space="0"/>
                    <w:right w:val="single" w:color="auto" w:sz="4" w:space="0"/>
                  </w:tcBorders>
                  <w:vAlign w:val="center"/>
                </w:tcPr>
                <w:p w14:paraId="53A6D612">
                  <w:pPr>
                    <w:adjustRightInd w:val="0"/>
                    <w:jc w:val="center"/>
                    <w:textAlignment w:val="baseline"/>
                    <w:rPr>
                      <w:rFonts w:hint="eastAsia" w:ascii="仿宋" w:hAnsi="仿宋" w:eastAsia="仿宋" w:cs="仿宋"/>
                      <w:bCs/>
                      <w:kern w:val="0"/>
                      <w:sz w:val="20"/>
                      <w:szCs w:val="20"/>
                    </w:rPr>
                  </w:pPr>
                  <w:r>
                    <w:rPr>
                      <w:rFonts w:hint="eastAsia" w:ascii="仿宋" w:hAnsi="仿宋" w:eastAsia="仿宋" w:cs="仿宋"/>
                      <w:bCs/>
                      <w:kern w:val="0"/>
                      <w:sz w:val="20"/>
                      <w:szCs w:val="20"/>
                    </w:rPr>
                    <w:t>触摸屏</w:t>
                  </w:r>
                </w:p>
              </w:tc>
              <w:tc>
                <w:tcPr>
                  <w:tcW w:w="4213" w:type="dxa"/>
                  <w:gridSpan w:val="2"/>
                  <w:tcBorders>
                    <w:top w:val="single" w:color="auto" w:sz="4" w:space="0"/>
                    <w:left w:val="single" w:color="auto" w:sz="4" w:space="0"/>
                    <w:bottom w:val="single" w:color="auto" w:sz="4" w:space="0"/>
                    <w:right w:val="single" w:color="auto" w:sz="4" w:space="0"/>
                  </w:tcBorders>
                  <w:vAlign w:val="center"/>
                </w:tcPr>
                <w:p w14:paraId="49EB22CB">
                  <w:pPr>
                    <w:adjustRightInd w:val="0"/>
                    <w:jc w:val="left"/>
                    <w:textAlignment w:val="baseline"/>
                    <w:rPr>
                      <w:rFonts w:hint="eastAsia" w:ascii="仿宋" w:hAnsi="仿宋" w:eastAsia="仿宋" w:cs="仿宋"/>
                      <w:bCs/>
                      <w:kern w:val="0"/>
                      <w:sz w:val="20"/>
                      <w:szCs w:val="20"/>
                    </w:rPr>
                  </w:pPr>
                  <w:r>
                    <w:rPr>
                      <w:rFonts w:hint="eastAsia" w:ascii="仿宋" w:hAnsi="仿宋" w:eastAsia="仿宋" w:cs="仿宋"/>
                      <w:bCs/>
                      <w:kern w:val="0"/>
                      <w:sz w:val="20"/>
                      <w:szCs w:val="20"/>
                    </w:rPr>
                    <w:t>1.</w:t>
                  </w:r>
                  <w:r>
                    <w:rPr>
                      <w:rFonts w:hint="eastAsia" w:ascii="仿宋" w:hAnsi="仿宋" w:eastAsia="仿宋" w:cs="仿宋"/>
                      <w:bCs/>
                      <w:kern w:val="0"/>
                      <w:sz w:val="20"/>
                      <w:szCs w:val="20"/>
                    </w:rPr>
                    <w:tab/>
                  </w:r>
                  <w:r>
                    <w:rPr>
                      <w:rFonts w:hint="eastAsia" w:ascii="仿宋" w:hAnsi="仿宋" w:eastAsia="仿宋" w:cs="仿宋"/>
                      <w:bCs/>
                      <w:kern w:val="0"/>
                      <w:sz w:val="20"/>
                      <w:szCs w:val="20"/>
                    </w:rPr>
                    <w:t>尺寸≥15英寸，1920×1080 FHD IPS LCD屏幕</w:t>
                  </w:r>
                </w:p>
                <w:p w14:paraId="1B7E19D7">
                  <w:pPr>
                    <w:adjustRightInd w:val="0"/>
                    <w:jc w:val="left"/>
                    <w:textAlignment w:val="baseline"/>
                    <w:rPr>
                      <w:rFonts w:hint="eastAsia" w:ascii="仿宋" w:hAnsi="仿宋" w:eastAsia="仿宋" w:cs="仿宋"/>
                      <w:bCs/>
                      <w:kern w:val="0"/>
                      <w:sz w:val="20"/>
                      <w:szCs w:val="20"/>
                    </w:rPr>
                  </w:pPr>
                  <w:r>
                    <w:rPr>
                      <w:rFonts w:hint="eastAsia" w:ascii="仿宋" w:hAnsi="仿宋" w:eastAsia="仿宋" w:cs="仿宋"/>
                      <w:bCs/>
                      <w:kern w:val="0"/>
                      <w:sz w:val="20"/>
                      <w:szCs w:val="20"/>
                    </w:rPr>
                    <w:t>2.</w:t>
                  </w:r>
                  <w:r>
                    <w:rPr>
                      <w:rFonts w:hint="eastAsia" w:ascii="仿宋" w:hAnsi="仿宋" w:eastAsia="仿宋" w:cs="仿宋"/>
                      <w:bCs/>
                      <w:kern w:val="0"/>
                      <w:sz w:val="20"/>
                      <w:szCs w:val="20"/>
                    </w:rPr>
                    <w:tab/>
                  </w:r>
                  <w:r>
                    <w:rPr>
                      <w:rFonts w:hint="eastAsia" w:ascii="仿宋" w:hAnsi="仿宋" w:eastAsia="仿宋" w:cs="仿宋"/>
                      <w:bCs/>
                      <w:kern w:val="0"/>
                      <w:sz w:val="20"/>
                      <w:szCs w:val="20"/>
                    </w:rPr>
                    <w:t>网络通讯接口数量≥2个</w:t>
                  </w:r>
                </w:p>
                <w:p w14:paraId="6368C4E3">
                  <w:pPr>
                    <w:adjustRightInd w:val="0"/>
                    <w:jc w:val="left"/>
                    <w:textAlignment w:val="baseline"/>
                    <w:rPr>
                      <w:rFonts w:hint="eastAsia" w:ascii="仿宋" w:hAnsi="仿宋" w:eastAsia="仿宋" w:cs="仿宋"/>
                      <w:bCs/>
                      <w:kern w:val="0"/>
                      <w:sz w:val="20"/>
                      <w:szCs w:val="20"/>
                    </w:rPr>
                  </w:pPr>
                  <w:r>
                    <w:rPr>
                      <w:rFonts w:hint="eastAsia" w:ascii="仿宋" w:hAnsi="仿宋" w:eastAsia="仿宋" w:cs="仿宋"/>
                      <w:bCs/>
                      <w:kern w:val="0"/>
                      <w:sz w:val="20"/>
                      <w:szCs w:val="20"/>
                    </w:rPr>
                    <w:t>3.</w:t>
                  </w:r>
                  <w:r>
                    <w:rPr>
                      <w:rFonts w:hint="eastAsia" w:ascii="仿宋" w:hAnsi="仿宋" w:eastAsia="仿宋" w:cs="仿宋"/>
                      <w:bCs/>
                      <w:kern w:val="0"/>
                      <w:sz w:val="20"/>
                      <w:szCs w:val="20"/>
                    </w:rPr>
                    <w:tab/>
                  </w:r>
                  <w:r>
                    <w:rPr>
                      <w:rFonts w:hint="eastAsia" w:ascii="仿宋" w:hAnsi="仿宋" w:eastAsia="仿宋" w:cs="仿宋"/>
                      <w:bCs/>
                      <w:kern w:val="0"/>
                      <w:sz w:val="20"/>
                      <w:szCs w:val="20"/>
                    </w:rPr>
                    <w:t>支持远程实时监控，参数调节和故障诊断。</w:t>
                  </w:r>
                </w:p>
                <w:p w14:paraId="3D6E8C7F">
                  <w:pPr>
                    <w:adjustRightInd w:val="0"/>
                    <w:jc w:val="left"/>
                    <w:textAlignment w:val="baseline"/>
                    <w:rPr>
                      <w:rFonts w:hint="eastAsia" w:ascii="仿宋" w:hAnsi="仿宋" w:eastAsia="仿宋" w:cs="仿宋"/>
                      <w:bCs/>
                      <w:kern w:val="0"/>
                      <w:sz w:val="20"/>
                      <w:szCs w:val="20"/>
                    </w:rPr>
                  </w:pPr>
                  <w:r>
                    <w:rPr>
                      <w:rFonts w:hint="eastAsia" w:ascii="仿宋" w:hAnsi="仿宋" w:eastAsia="仿宋" w:cs="仿宋"/>
                      <w:bCs/>
                      <w:kern w:val="0"/>
                      <w:sz w:val="20"/>
                      <w:szCs w:val="20"/>
                    </w:rPr>
                    <w:t>4.</w:t>
                  </w:r>
                  <w:r>
                    <w:rPr>
                      <w:rFonts w:hint="eastAsia" w:ascii="仿宋" w:hAnsi="仿宋" w:eastAsia="仿宋" w:cs="仿宋"/>
                      <w:bCs/>
                      <w:kern w:val="0"/>
                      <w:sz w:val="20"/>
                      <w:szCs w:val="20"/>
                    </w:rPr>
                    <w:tab/>
                  </w:r>
                  <w:r>
                    <w:rPr>
                      <w:rFonts w:hint="eastAsia" w:ascii="仿宋" w:hAnsi="仿宋" w:eastAsia="仿宋" w:cs="仿宋"/>
                      <w:bCs/>
                      <w:kern w:val="0"/>
                      <w:sz w:val="20"/>
                      <w:szCs w:val="20"/>
                    </w:rPr>
                    <w:t>配备四核或四核以上CPU，搭配高性能3D处理器，具备强大的图形处理能力，能够流畅地运行各种复杂的应用程序和界面动画，同时执行多任务时也能保持高效稳定</w:t>
                  </w:r>
                </w:p>
                <w:p w14:paraId="4EB7A11D">
                  <w:pPr>
                    <w:widowControl/>
                    <w:jc w:val="left"/>
                    <w:rPr>
                      <w:rFonts w:hint="eastAsia" w:ascii="仿宋" w:hAnsi="仿宋" w:eastAsia="仿宋" w:cs="仿宋"/>
                      <w:bCs/>
                      <w:kern w:val="0"/>
                      <w:sz w:val="20"/>
                      <w:szCs w:val="20"/>
                    </w:rPr>
                  </w:pPr>
                  <w:r>
                    <w:rPr>
                      <w:rFonts w:hint="eastAsia" w:ascii="仿宋" w:hAnsi="仿宋" w:eastAsia="仿宋" w:cs="仿宋"/>
                      <w:bCs/>
                      <w:kern w:val="0"/>
                      <w:sz w:val="20"/>
                      <w:szCs w:val="20"/>
                    </w:rPr>
                    <w:t>5.</w:t>
                  </w:r>
                  <w:r>
                    <w:rPr>
                      <w:rFonts w:hint="eastAsia" w:ascii="仿宋" w:hAnsi="仿宋" w:eastAsia="仿宋" w:cs="仿宋"/>
                      <w:bCs/>
                      <w:kern w:val="0"/>
                      <w:sz w:val="20"/>
                      <w:szCs w:val="20"/>
                    </w:rPr>
                    <w:tab/>
                  </w:r>
                  <w:r>
                    <w:rPr>
                      <w:rFonts w:hint="eastAsia" w:ascii="仿宋" w:hAnsi="仿宋" w:eastAsia="仿宋" w:cs="仿宋"/>
                      <w:bCs/>
                      <w:kern w:val="0"/>
                      <w:sz w:val="20"/>
                      <w:szCs w:val="20"/>
                    </w:rPr>
                    <w:t>内置储存闪存≥4 GB，满足数据存储需求</w:t>
                  </w:r>
                </w:p>
              </w:tc>
            </w:tr>
            <w:tr w14:paraId="4992C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jc w:val="center"/>
              </w:trPr>
              <w:tc>
                <w:tcPr>
                  <w:tcW w:w="966" w:type="dxa"/>
                  <w:tcBorders>
                    <w:top w:val="single" w:color="auto" w:sz="4" w:space="0"/>
                    <w:left w:val="single" w:color="auto" w:sz="4" w:space="0"/>
                    <w:bottom w:val="single" w:color="auto" w:sz="4" w:space="0"/>
                    <w:right w:val="single" w:color="auto" w:sz="4" w:space="0"/>
                  </w:tcBorders>
                  <w:vAlign w:val="center"/>
                </w:tcPr>
                <w:p w14:paraId="69E14394">
                  <w:pPr>
                    <w:adjustRightInd w:val="0"/>
                    <w:jc w:val="center"/>
                    <w:textAlignment w:val="baseline"/>
                    <w:rPr>
                      <w:rFonts w:hint="eastAsia" w:ascii="仿宋" w:hAnsi="仿宋" w:eastAsia="仿宋" w:cs="仿宋"/>
                      <w:bCs/>
                      <w:kern w:val="0"/>
                      <w:sz w:val="20"/>
                      <w:szCs w:val="20"/>
                    </w:rPr>
                  </w:pPr>
                  <w:r>
                    <w:rPr>
                      <w:rFonts w:hint="eastAsia" w:ascii="仿宋" w:hAnsi="仿宋" w:eastAsia="仿宋" w:cs="仿宋"/>
                      <w:bCs/>
                      <w:kern w:val="0"/>
                      <w:sz w:val="20"/>
                      <w:szCs w:val="20"/>
                    </w:rPr>
                    <w:t>交换机</w:t>
                  </w:r>
                </w:p>
              </w:tc>
              <w:tc>
                <w:tcPr>
                  <w:tcW w:w="4213" w:type="dxa"/>
                  <w:gridSpan w:val="2"/>
                  <w:tcBorders>
                    <w:top w:val="single" w:color="auto" w:sz="4" w:space="0"/>
                    <w:left w:val="single" w:color="auto" w:sz="4" w:space="0"/>
                    <w:bottom w:val="single" w:color="auto" w:sz="4" w:space="0"/>
                    <w:right w:val="single" w:color="auto" w:sz="4" w:space="0"/>
                  </w:tcBorders>
                  <w:vAlign w:val="center"/>
                </w:tcPr>
                <w:p w14:paraId="22B87545">
                  <w:pPr>
                    <w:widowControl/>
                    <w:numPr>
                      <w:ilvl w:val="0"/>
                      <w:numId w:val="4"/>
                    </w:numPr>
                    <w:jc w:val="left"/>
                    <w:rPr>
                      <w:rFonts w:hint="eastAsia" w:ascii="仿宋" w:hAnsi="仿宋" w:eastAsia="仿宋" w:cs="仿宋"/>
                      <w:bCs/>
                      <w:kern w:val="0"/>
                      <w:sz w:val="20"/>
                      <w:szCs w:val="20"/>
                    </w:rPr>
                  </w:pPr>
                  <w:r>
                    <w:rPr>
                      <w:rFonts w:hint="eastAsia" w:ascii="仿宋" w:hAnsi="仿宋" w:eastAsia="仿宋" w:cs="仿宋"/>
                      <w:bCs/>
                      <w:kern w:val="0"/>
                      <w:sz w:val="20"/>
                      <w:szCs w:val="20"/>
                    </w:rPr>
                    <w:t>接口数量≥8个，具备管理功能</w:t>
                  </w:r>
                </w:p>
                <w:p w14:paraId="41786D1F">
                  <w:pPr>
                    <w:widowControl/>
                    <w:numPr>
                      <w:ilvl w:val="0"/>
                      <w:numId w:val="4"/>
                    </w:numPr>
                    <w:jc w:val="left"/>
                    <w:rPr>
                      <w:rFonts w:hint="eastAsia" w:ascii="仿宋" w:hAnsi="仿宋" w:eastAsia="仿宋" w:cs="仿宋"/>
                      <w:bCs/>
                      <w:kern w:val="0"/>
                      <w:sz w:val="20"/>
                      <w:szCs w:val="20"/>
                    </w:rPr>
                  </w:pPr>
                  <w:r>
                    <w:rPr>
                      <w:rFonts w:hint="eastAsia" w:ascii="仿宋" w:hAnsi="仿宋" w:eastAsia="仿宋" w:cs="仿宋"/>
                      <w:bCs/>
                      <w:kern w:val="0"/>
                      <w:sz w:val="20"/>
                      <w:szCs w:val="20"/>
                    </w:rPr>
                    <w:t>10/100/1000BASE-T 电口，2个千兆SFP光口，2个万兆SFP光口</w:t>
                  </w:r>
                </w:p>
                <w:p w14:paraId="71EFD1E8">
                  <w:pPr>
                    <w:widowControl/>
                    <w:numPr>
                      <w:ilvl w:val="0"/>
                      <w:numId w:val="4"/>
                    </w:numPr>
                    <w:jc w:val="left"/>
                    <w:rPr>
                      <w:rFonts w:hint="eastAsia" w:ascii="仿宋" w:hAnsi="仿宋" w:eastAsia="仿宋" w:cs="仿宋"/>
                      <w:bCs/>
                      <w:kern w:val="0"/>
                      <w:sz w:val="20"/>
                      <w:szCs w:val="20"/>
                    </w:rPr>
                  </w:pPr>
                  <w:r>
                    <w:rPr>
                      <w:rFonts w:hint="eastAsia" w:ascii="仿宋" w:hAnsi="仿宋" w:eastAsia="仿宋" w:cs="仿宋"/>
                      <w:bCs/>
                      <w:kern w:val="0"/>
                      <w:sz w:val="20"/>
                      <w:szCs w:val="20"/>
                    </w:rPr>
                    <w:t>交换容量≥50 Gbps，转发速率≥40 Mpps</w:t>
                  </w:r>
                </w:p>
              </w:tc>
            </w:tr>
            <w:tr w14:paraId="12461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966" w:type="dxa"/>
                  <w:tcBorders>
                    <w:top w:val="single" w:color="auto" w:sz="4" w:space="0"/>
                    <w:left w:val="single" w:color="auto" w:sz="4" w:space="0"/>
                    <w:bottom w:val="single" w:color="auto" w:sz="4" w:space="0"/>
                    <w:right w:val="single" w:color="auto" w:sz="4" w:space="0"/>
                  </w:tcBorders>
                  <w:vAlign w:val="center"/>
                </w:tcPr>
                <w:p w14:paraId="4621D3EA">
                  <w:pPr>
                    <w:adjustRightInd w:val="0"/>
                    <w:jc w:val="center"/>
                    <w:textAlignment w:val="baseline"/>
                    <w:rPr>
                      <w:rFonts w:hint="eastAsia" w:ascii="仿宋" w:hAnsi="仿宋" w:eastAsia="仿宋" w:cs="仿宋"/>
                      <w:bCs/>
                      <w:kern w:val="0"/>
                      <w:sz w:val="20"/>
                      <w:szCs w:val="20"/>
                    </w:rPr>
                  </w:pPr>
                  <w:r>
                    <w:rPr>
                      <w:rFonts w:hint="eastAsia" w:ascii="仿宋" w:hAnsi="仿宋" w:eastAsia="仿宋" w:cs="仿宋"/>
                      <w:bCs/>
                      <w:kern w:val="0"/>
                      <w:sz w:val="20"/>
                      <w:szCs w:val="20"/>
                    </w:rPr>
                    <w:t>串口服务器</w:t>
                  </w:r>
                </w:p>
              </w:tc>
              <w:tc>
                <w:tcPr>
                  <w:tcW w:w="4213" w:type="dxa"/>
                  <w:gridSpan w:val="2"/>
                  <w:tcBorders>
                    <w:top w:val="single" w:color="auto" w:sz="4" w:space="0"/>
                    <w:left w:val="single" w:color="auto" w:sz="4" w:space="0"/>
                    <w:bottom w:val="single" w:color="auto" w:sz="4" w:space="0"/>
                    <w:right w:val="single" w:color="auto" w:sz="4" w:space="0"/>
                  </w:tcBorders>
                  <w:vAlign w:val="center"/>
                </w:tcPr>
                <w:p w14:paraId="2038CA55">
                  <w:pPr>
                    <w:widowControl/>
                    <w:jc w:val="left"/>
                    <w:rPr>
                      <w:rFonts w:hint="eastAsia" w:ascii="仿宋" w:hAnsi="仿宋" w:eastAsia="仿宋" w:cs="仿宋"/>
                      <w:bCs/>
                      <w:kern w:val="0"/>
                      <w:sz w:val="20"/>
                      <w:szCs w:val="20"/>
                    </w:rPr>
                  </w:pPr>
                  <w:r>
                    <w:rPr>
                      <w:rFonts w:hint="eastAsia" w:ascii="仿宋" w:hAnsi="仿宋" w:eastAsia="仿宋" w:cs="仿宋"/>
                      <w:bCs/>
                      <w:kern w:val="0"/>
                      <w:sz w:val="20"/>
                      <w:szCs w:val="20"/>
                    </w:rPr>
                    <w:t>≥8口，具备管理功能</w:t>
                  </w:r>
                </w:p>
              </w:tc>
            </w:tr>
            <w:tr w14:paraId="63601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966" w:type="dxa"/>
                  <w:tcBorders>
                    <w:top w:val="single" w:color="auto" w:sz="4" w:space="0"/>
                    <w:left w:val="single" w:color="auto" w:sz="4" w:space="0"/>
                    <w:bottom w:val="single" w:color="auto" w:sz="4" w:space="0"/>
                    <w:right w:val="single" w:color="auto" w:sz="4" w:space="0"/>
                  </w:tcBorders>
                  <w:vAlign w:val="center"/>
                </w:tcPr>
                <w:p w14:paraId="12CA82A4">
                  <w:pPr>
                    <w:adjustRightInd w:val="0"/>
                    <w:jc w:val="center"/>
                    <w:textAlignment w:val="baseline"/>
                    <w:rPr>
                      <w:rFonts w:hint="eastAsia" w:ascii="仿宋" w:hAnsi="仿宋" w:eastAsia="仿宋" w:cs="仿宋"/>
                      <w:bCs/>
                      <w:kern w:val="0"/>
                      <w:sz w:val="20"/>
                      <w:szCs w:val="20"/>
                    </w:rPr>
                  </w:pPr>
                  <w:r>
                    <w:rPr>
                      <w:rFonts w:hint="eastAsia" w:ascii="仿宋" w:hAnsi="仿宋" w:eastAsia="仿宋" w:cs="仿宋"/>
                      <w:bCs/>
                      <w:kern w:val="0"/>
                      <w:sz w:val="20"/>
                      <w:szCs w:val="20"/>
                    </w:rPr>
                    <w:t>导轨电源</w:t>
                  </w:r>
                </w:p>
              </w:tc>
              <w:tc>
                <w:tcPr>
                  <w:tcW w:w="4213" w:type="dxa"/>
                  <w:gridSpan w:val="2"/>
                  <w:tcBorders>
                    <w:top w:val="single" w:color="auto" w:sz="4" w:space="0"/>
                    <w:left w:val="single" w:color="auto" w:sz="4" w:space="0"/>
                    <w:bottom w:val="single" w:color="auto" w:sz="4" w:space="0"/>
                    <w:right w:val="single" w:color="auto" w:sz="4" w:space="0"/>
                  </w:tcBorders>
                  <w:vAlign w:val="center"/>
                </w:tcPr>
                <w:p w14:paraId="1A1838C7">
                  <w:pPr>
                    <w:widowControl/>
                    <w:jc w:val="left"/>
                    <w:rPr>
                      <w:rFonts w:hint="eastAsia" w:ascii="仿宋" w:hAnsi="仿宋" w:eastAsia="仿宋" w:cs="仿宋"/>
                      <w:bCs/>
                      <w:kern w:val="0"/>
                      <w:sz w:val="20"/>
                      <w:szCs w:val="20"/>
                    </w:rPr>
                  </w:pPr>
                  <w:r>
                    <w:rPr>
                      <w:rFonts w:hint="eastAsia" w:ascii="仿宋" w:hAnsi="仿宋" w:eastAsia="仿宋" w:cs="仿宋"/>
                      <w:bCs/>
                      <w:kern w:val="0"/>
                      <w:sz w:val="20"/>
                      <w:szCs w:val="20"/>
                    </w:rPr>
                    <w:t>24 V,10 A</w:t>
                  </w:r>
                </w:p>
              </w:tc>
            </w:tr>
            <w:tr w14:paraId="2D629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966" w:type="dxa"/>
                  <w:tcBorders>
                    <w:top w:val="single" w:color="auto" w:sz="4" w:space="0"/>
                    <w:left w:val="single" w:color="auto" w:sz="4" w:space="0"/>
                    <w:bottom w:val="single" w:color="auto" w:sz="4" w:space="0"/>
                    <w:right w:val="single" w:color="auto" w:sz="4" w:space="0"/>
                  </w:tcBorders>
                  <w:vAlign w:val="center"/>
                </w:tcPr>
                <w:p w14:paraId="648F79C0">
                  <w:pPr>
                    <w:adjustRightInd w:val="0"/>
                    <w:jc w:val="center"/>
                    <w:textAlignment w:val="baseline"/>
                    <w:rPr>
                      <w:rFonts w:hint="eastAsia" w:ascii="仿宋" w:hAnsi="仿宋" w:eastAsia="仿宋" w:cs="仿宋"/>
                      <w:bCs/>
                      <w:kern w:val="0"/>
                      <w:sz w:val="20"/>
                      <w:szCs w:val="20"/>
                    </w:rPr>
                  </w:pPr>
                  <w:r>
                    <w:rPr>
                      <w:rFonts w:hint="eastAsia" w:ascii="仿宋" w:hAnsi="仿宋" w:eastAsia="仿宋" w:cs="仿宋"/>
                      <w:bCs/>
                      <w:kern w:val="0"/>
                      <w:sz w:val="20"/>
                      <w:szCs w:val="20"/>
                    </w:rPr>
                    <w:t>PDU</w:t>
                  </w:r>
                </w:p>
              </w:tc>
              <w:tc>
                <w:tcPr>
                  <w:tcW w:w="4213" w:type="dxa"/>
                  <w:gridSpan w:val="2"/>
                  <w:tcBorders>
                    <w:top w:val="single" w:color="auto" w:sz="4" w:space="0"/>
                    <w:left w:val="single" w:color="auto" w:sz="4" w:space="0"/>
                    <w:bottom w:val="single" w:color="auto" w:sz="4" w:space="0"/>
                    <w:right w:val="single" w:color="auto" w:sz="4" w:space="0"/>
                  </w:tcBorders>
                  <w:vAlign w:val="center"/>
                </w:tcPr>
                <w:p w14:paraId="2A4432C5">
                  <w:pPr>
                    <w:widowControl/>
                    <w:jc w:val="left"/>
                    <w:rPr>
                      <w:rFonts w:hint="eastAsia" w:ascii="仿宋" w:hAnsi="仿宋" w:eastAsia="仿宋" w:cs="仿宋"/>
                      <w:bCs/>
                      <w:kern w:val="0"/>
                      <w:sz w:val="20"/>
                      <w:szCs w:val="20"/>
                    </w:rPr>
                  </w:pPr>
                  <w:r>
                    <w:rPr>
                      <w:rFonts w:hint="eastAsia" w:ascii="仿宋" w:hAnsi="仿宋" w:eastAsia="仿宋" w:cs="仿宋"/>
                      <w:bCs/>
                      <w:kern w:val="0"/>
                      <w:sz w:val="20"/>
                      <w:szCs w:val="20"/>
                    </w:rPr>
                    <w:t>10 A，≥5孔</w:t>
                  </w:r>
                </w:p>
              </w:tc>
            </w:tr>
            <w:tr w14:paraId="40B61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966" w:type="dxa"/>
                  <w:tcBorders>
                    <w:top w:val="single" w:color="auto" w:sz="4" w:space="0"/>
                    <w:left w:val="single" w:color="auto" w:sz="4" w:space="0"/>
                    <w:bottom w:val="single" w:color="auto" w:sz="4" w:space="0"/>
                    <w:right w:val="single" w:color="auto" w:sz="4" w:space="0"/>
                  </w:tcBorders>
                  <w:vAlign w:val="center"/>
                </w:tcPr>
                <w:p w14:paraId="411736B5">
                  <w:pPr>
                    <w:adjustRightInd w:val="0"/>
                    <w:jc w:val="center"/>
                    <w:textAlignment w:val="baseline"/>
                    <w:rPr>
                      <w:rFonts w:hint="eastAsia" w:ascii="仿宋" w:hAnsi="仿宋" w:eastAsia="仿宋" w:cs="仿宋"/>
                      <w:bCs/>
                      <w:kern w:val="0"/>
                      <w:sz w:val="20"/>
                      <w:szCs w:val="20"/>
                    </w:rPr>
                  </w:pPr>
                  <w:r>
                    <w:rPr>
                      <w:rFonts w:hint="eastAsia" w:ascii="仿宋" w:hAnsi="仿宋" w:eastAsia="仿宋" w:cs="仿宋"/>
                      <w:bCs/>
                      <w:kern w:val="0"/>
                      <w:sz w:val="20"/>
                      <w:szCs w:val="20"/>
                    </w:rPr>
                    <w:t>断路器</w:t>
                  </w:r>
                </w:p>
              </w:tc>
              <w:tc>
                <w:tcPr>
                  <w:tcW w:w="4213" w:type="dxa"/>
                  <w:gridSpan w:val="2"/>
                  <w:tcBorders>
                    <w:top w:val="single" w:color="auto" w:sz="4" w:space="0"/>
                    <w:left w:val="single" w:color="auto" w:sz="4" w:space="0"/>
                    <w:bottom w:val="single" w:color="auto" w:sz="4" w:space="0"/>
                    <w:right w:val="single" w:color="auto" w:sz="4" w:space="0"/>
                  </w:tcBorders>
                  <w:vAlign w:val="center"/>
                </w:tcPr>
                <w:p w14:paraId="0B43334E">
                  <w:pPr>
                    <w:widowControl/>
                    <w:jc w:val="left"/>
                    <w:rPr>
                      <w:rFonts w:hint="eastAsia" w:ascii="仿宋" w:hAnsi="仿宋" w:eastAsia="仿宋" w:cs="仿宋"/>
                      <w:bCs/>
                      <w:kern w:val="0"/>
                      <w:sz w:val="20"/>
                      <w:szCs w:val="20"/>
                    </w:rPr>
                  </w:pPr>
                  <w:r>
                    <w:rPr>
                      <w:rFonts w:hint="eastAsia" w:ascii="仿宋" w:hAnsi="仿宋" w:eastAsia="仿宋" w:cs="仿宋"/>
                      <w:bCs/>
                      <w:kern w:val="0"/>
                      <w:sz w:val="20"/>
                      <w:szCs w:val="20"/>
                    </w:rPr>
                    <w:t>导轨微型10A 2P</w:t>
                  </w:r>
                </w:p>
              </w:tc>
            </w:tr>
            <w:tr w14:paraId="2928C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1" w:hRule="atLeast"/>
                <w:jc w:val="center"/>
              </w:trPr>
              <w:tc>
                <w:tcPr>
                  <w:tcW w:w="966" w:type="dxa"/>
                  <w:tcBorders>
                    <w:top w:val="single" w:color="auto" w:sz="4" w:space="0"/>
                    <w:left w:val="single" w:color="auto" w:sz="4" w:space="0"/>
                    <w:bottom w:val="single" w:color="auto" w:sz="4" w:space="0"/>
                    <w:right w:val="single" w:color="auto" w:sz="4" w:space="0"/>
                  </w:tcBorders>
                  <w:vAlign w:val="center"/>
                </w:tcPr>
                <w:p w14:paraId="62E30738">
                  <w:pPr>
                    <w:adjustRightInd w:val="0"/>
                    <w:jc w:val="center"/>
                    <w:textAlignment w:val="baseline"/>
                    <w:rPr>
                      <w:rFonts w:hint="eastAsia" w:ascii="仿宋" w:hAnsi="仿宋" w:eastAsia="仿宋" w:cs="仿宋"/>
                      <w:bCs/>
                      <w:kern w:val="0"/>
                      <w:sz w:val="20"/>
                      <w:szCs w:val="20"/>
                    </w:rPr>
                  </w:pPr>
                  <w:r>
                    <w:rPr>
                      <w:rFonts w:hint="eastAsia" w:ascii="仿宋" w:hAnsi="仿宋" w:eastAsia="仿宋" w:cs="仿宋"/>
                      <w:bCs/>
                      <w:kern w:val="0"/>
                      <w:sz w:val="20"/>
                      <w:szCs w:val="20"/>
                    </w:rPr>
                    <w:t>UPS</w:t>
                  </w:r>
                </w:p>
              </w:tc>
              <w:tc>
                <w:tcPr>
                  <w:tcW w:w="4213" w:type="dxa"/>
                  <w:gridSpan w:val="2"/>
                  <w:tcBorders>
                    <w:top w:val="single" w:color="auto" w:sz="4" w:space="0"/>
                    <w:left w:val="single" w:color="auto" w:sz="4" w:space="0"/>
                    <w:bottom w:val="single" w:color="auto" w:sz="4" w:space="0"/>
                    <w:right w:val="single" w:color="auto" w:sz="4" w:space="0"/>
                  </w:tcBorders>
                  <w:vAlign w:val="center"/>
                </w:tcPr>
                <w:p w14:paraId="71D9E4FF">
                  <w:pPr>
                    <w:numPr>
                      <w:ilvl w:val="0"/>
                      <w:numId w:val="5"/>
                    </w:numPr>
                    <w:adjustRightInd w:val="0"/>
                    <w:jc w:val="left"/>
                    <w:textAlignment w:val="baseline"/>
                    <w:rPr>
                      <w:rFonts w:hint="eastAsia" w:ascii="仿宋" w:hAnsi="仿宋" w:eastAsia="仿宋" w:cs="仿宋"/>
                      <w:bCs/>
                      <w:kern w:val="0"/>
                      <w:sz w:val="20"/>
                      <w:szCs w:val="20"/>
                    </w:rPr>
                  </w:pPr>
                  <w:r>
                    <w:rPr>
                      <w:rFonts w:hint="eastAsia" w:ascii="仿宋" w:hAnsi="仿宋" w:eastAsia="仿宋" w:cs="仿宋"/>
                      <w:bCs/>
                      <w:kern w:val="0"/>
                      <w:sz w:val="20"/>
                      <w:szCs w:val="20"/>
                    </w:rPr>
                    <w:t>配铅酸或铅蓄电池</w:t>
                  </w:r>
                </w:p>
                <w:p w14:paraId="784ECBBF">
                  <w:pPr>
                    <w:widowControl/>
                    <w:numPr>
                      <w:ilvl w:val="0"/>
                      <w:numId w:val="5"/>
                    </w:numPr>
                    <w:jc w:val="left"/>
                    <w:rPr>
                      <w:rFonts w:hint="eastAsia" w:ascii="仿宋" w:hAnsi="仿宋" w:eastAsia="仿宋" w:cs="仿宋"/>
                      <w:bCs/>
                      <w:kern w:val="0"/>
                      <w:sz w:val="20"/>
                      <w:szCs w:val="20"/>
                    </w:rPr>
                  </w:pPr>
                  <w:r>
                    <w:rPr>
                      <w:rFonts w:hint="eastAsia" w:ascii="仿宋" w:hAnsi="仿宋" w:eastAsia="仿宋" w:cs="仿宋"/>
                      <w:bCs/>
                      <w:kern w:val="0"/>
                      <w:sz w:val="20"/>
                      <w:szCs w:val="20"/>
                    </w:rPr>
                    <w:t xml:space="preserve">额定容量≥1kVA </w:t>
                  </w:r>
                </w:p>
                <w:p w14:paraId="65A01B15">
                  <w:pPr>
                    <w:widowControl/>
                    <w:numPr>
                      <w:ilvl w:val="0"/>
                      <w:numId w:val="5"/>
                    </w:numPr>
                    <w:jc w:val="left"/>
                    <w:rPr>
                      <w:rFonts w:hint="eastAsia" w:ascii="仿宋" w:hAnsi="仿宋" w:eastAsia="仿宋" w:cs="仿宋"/>
                      <w:bCs/>
                      <w:kern w:val="0"/>
                      <w:sz w:val="20"/>
                      <w:szCs w:val="20"/>
                    </w:rPr>
                  </w:pPr>
                  <w:r>
                    <w:rPr>
                      <w:rFonts w:hint="eastAsia" w:ascii="仿宋" w:hAnsi="仿宋" w:eastAsia="仿宋" w:cs="仿宋"/>
                      <w:bCs/>
                      <w:kern w:val="0"/>
                      <w:sz w:val="20"/>
                      <w:szCs w:val="20"/>
                    </w:rPr>
                    <w:t>市电恢复正常时，可以自动重启</w:t>
                  </w:r>
                </w:p>
                <w:p w14:paraId="62D9D2A1">
                  <w:pPr>
                    <w:widowControl/>
                    <w:numPr>
                      <w:ilvl w:val="0"/>
                      <w:numId w:val="5"/>
                    </w:numPr>
                    <w:jc w:val="left"/>
                    <w:rPr>
                      <w:rFonts w:hint="eastAsia" w:ascii="仿宋" w:hAnsi="仿宋" w:eastAsia="仿宋" w:cs="仿宋"/>
                      <w:bCs/>
                      <w:kern w:val="0"/>
                      <w:sz w:val="20"/>
                      <w:szCs w:val="20"/>
                    </w:rPr>
                  </w:pPr>
                  <w:r>
                    <w:rPr>
                      <w:rFonts w:hint="eastAsia" w:ascii="仿宋" w:hAnsi="仿宋" w:eastAsia="仿宋" w:cs="仿宋"/>
                      <w:bCs/>
                      <w:kern w:val="0"/>
                      <w:sz w:val="20"/>
                      <w:szCs w:val="20"/>
                    </w:rPr>
                    <w:t>机架式主机+电池模块高度≤5U，深度≤600mm</w:t>
                  </w:r>
                </w:p>
                <w:p w14:paraId="39DC2F72">
                  <w:pPr>
                    <w:widowControl/>
                    <w:numPr>
                      <w:ilvl w:val="0"/>
                      <w:numId w:val="5"/>
                    </w:numPr>
                    <w:jc w:val="left"/>
                    <w:rPr>
                      <w:rFonts w:hint="eastAsia" w:ascii="仿宋" w:hAnsi="仿宋" w:eastAsia="仿宋" w:cs="仿宋"/>
                      <w:bCs/>
                      <w:kern w:val="0"/>
                      <w:sz w:val="20"/>
                      <w:szCs w:val="20"/>
                    </w:rPr>
                  </w:pPr>
                  <w:r>
                    <w:rPr>
                      <w:rFonts w:hint="eastAsia" w:ascii="仿宋" w:hAnsi="仿宋" w:eastAsia="仿宋" w:cs="仿宋"/>
                      <w:bCs/>
                      <w:kern w:val="0"/>
                      <w:sz w:val="20"/>
                      <w:szCs w:val="20"/>
                    </w:rPr>
                    <w:t>输出国标插座≥2个</w:t>
                  </w:r>
                </w:p>
                <w:p w14:paraId="7723C1E9">
                  <w:pPr>
                    <w:widowControl/>
                    <w:numPr>
                      <w:ilvl w:val="0"/>
                      <w:numId w:val="5"/>
                    </w:numPr>
                    <w:jc w:val="left"/>
                    <w:rPr>
                      <w:rFonts w:hint="eastAsia" w:ascii="仿宋" w:hAnsi="仿宋" w:eastAsia="仿宋" w:cs="仿宋"/>
                      <w:bCs/>
                      <w:kern w:val="0"/>
                      <w:sz w:val="20"/>
                      <w:szCs w:val="20"/>
                    </w:rPr>
                  </w:pPr>
                  <w:r>
                    <w:rPr>
                      <w:rFonts w:hint="eastAsia" w:ascii="仿宋" w:hAnsi="仿宋" w:eastAsia="仿宋" w:cs="仿宋"/>
                      <w:bCs/>
                      <w:kern w:val="0"/>
                      <w:sz w:val="20"/>
                      <w:szCs w:val="20"/>
                    </w:rPr>
                    <w:t>支持USB/RS232等通讯接口</w:t>
                  </w:r>
                </w:p>
              </w:tc>
            </w:tr>
            <w:tr w14:paraId="5A14A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2" w:hRule="atLeast"/>
                <w:jc w:val="center"/>
              </w:trPr>
              <w:tc>
                <w:tcPr>
                  <w:tcW w:w="966" w:type="dxa"/>
                  <w:tcBorders>
                    <w:top w:val="single" w:color="auto" w:sz="4" w:space="0"/>
                    <w:left w:val="single" w:color="auto" w:sz="4" w:space="0"/>
                    <w:bottom w:val="single" w:color="auto" w:sz="4" w:space="0"/>
                    <w:right w:val="single" w:color="auto" w:sz="4" w:space="0"/>
                  </w:tcBorders>
                  <w:vAlign w:val="center"/>
                </w:tcPr>
                <w:p w14:paraId="2FE7A39B">
                  <w:pPr>
                    <w:adjustRightInd w:val="0"/>
                    <w:jc w:val="center"/>
                    <w:textAlignment w:val="baseline"/>
                    <w:rPr>
                      <w:rFonts w:hint="eastAsia" w:ascii="仿宋" w:hAnsi="仿宋" w:eastAsia="仿宋" w:cs="仿宋"/>
                      <w:bCs/>
                      <w:kern w:val="0"/>
                      <w:sz w:val="20"/>
                      <w:szCs w:val="20"/>
                    </w:rPr>
                  </w:pPr>
                  <w:r>
                    <w:rPr>
                      <w:rFonts w:hint="eastAsia" w:ascii="仿宋" w:hAnsi="仿宋" w:eastAsia="仿宋" w:cs="仿宋"/>
                      <w:bCs/>
                      <w:kern w:val="0"/>
                      <w:sz w:val="20"/>
                      <w:szCs w:val="20"/>
                    </w:rPr>
                    <w:t>控制机柜</w:t>
                  </w:r>
                </w:p>
              </w:tc>
              <w:tc>
                <w:tcPr>
                  <w:tcW w:w="4213" w:type="dxa"/>
                  <w:gridSpan w:val="2"/>
                  <w:tcBorders>
                    <w:top w:val="single" w:color="auto" w:sz="4" w:space="0"/>
                    <w:left w:val="single" w:color="auto" w:sz="4" w:space="0"/>
                    <w:bottom w:val="single" w:color="auto" w:sz="4" w:space="0"/>
                    <w:right w:val="single" w:color="auto" w:sz="4" w:space="0"/>
                  </w:tcBorders>
                  <w:vAlign w:val="center"/>
                </w:tcPr>
                <w:p w14:paraId="72982201">
                  <w:pPr>
                    <w:widowControl/>
                    <w:numPr>
                      <w:ilvl w:val="0"/>
                      <w:numId w:val="6"/>
                    </w:numPr>
                    <w:jc w:val="left"/>
                    <w:rPr>
                      <w:rFonts w:hint="eastAsia" w:ascii="仿宋" w:hAnsi="仿宋" w:eastAsia="仿宋" w:cs="仿宋"/>
                      <w:bCs/>
                      <w:kern w:val="0"/>
                      <w:sz w:val="20"/>
                      <w:szCs w:val="20"/>
                    </w:rPr>
                  </w:pPr>
                  <w:r>
                    <w:rPr>
                      <w:rFonts w:hint="eastAsia" w:ascii="仿宋" w:hAnsi="仿宋" w:eastAsia="仿宋" w:cs="仿宋"/>
                      <w:bCs/>
                      <w:kern w:val="0"/>
                      <w:sz w:val="20"/>
                      <w:szCs w:val="20"/>
                    </w:rPr>
                    <w:t>尺寸：宽600mm×深800mm×高2000mm，底座高200 mm，现场安装，配5寸万向轮</w:t>
                  </w:r>
                </w:p>
                <w:p w14:paraId="01FF1812">
                  <w:pPr>
                    <w:numPr>
                      <w:ilvl w:val="0"/>
                      <w:numId w:val="6"/>
                    </w:numPr>
                    <w:rPr>
                      <w:rFonts w:hint="eastAsia" w:ascii="仿宋" w:hAnsi="仿宋" w:eastAsia="仿宋" w:cs="仿宋"/>
                      <w:bCs/>
                      <w:kern w:val="0"/>
                      <w:sz w:val="20"/>
                      <w:szCs w:val="20"/>
                    </w:rPr>
                  </w:pPr>
                  <w:r>
                    <w:rPr>
                      <w:rFonts w:hint="eastAsia" w:ascii="仿宋" w:hAnsi="仿宋" w:eastAsia="仿宋" w:cs="仿宋"/>
                      <w:bCs/>
                      <w:kern w:val="0"/>
                      <w:sz w:val="20"/>
                      <w:szCs w:val="20"/>
                    </w:rPr>
                    <w:t>控制柜前后门均可开启，前门采用玻璃材质，后门采用不锈钢材质，配有接地柱，配备4根19英寸标准框架，机柜满足上进线和下进线</w:t>
                  </w:r>
                </w:p>
                <w:p w14:paraId="4F9F5CB4">
                  <w:pPr>
                    <w:widowControl/>
                    <w:numPr>
                      <w:ilvl w:val="0"/>
                      <w:numId w:val="6"/>
                    </w:numPr>
                    <w:jc w:val="left"/>
                    <w:rPr>
                      <w:rFonts w:hint="eastAsia" w:ascii="仿宋" w:hAnsi="仿宋" w:eastAsia="仿宋" w:cs="仿宋"/>
                      <w:bCs/>
                      <w:kern w:val="0"/>
                      <w:sz w:val="20"/>
                      <w:szCs w:val="20"/>
                    </w:rPr>
                  </w:pPr>
                  <w:r>
                    <w:rPr>
                      <w:rFonts w:hint="eastAsia" w:ascii="仿宋" w:hAnsi="仿宋" w:eastAsia="仿宋" w:cs="仿宋"/>
                      <w:bCs/>
                      <w:kern w:val="0"/>
                      <w:sz w:val="20"/>
                      <w:szCs w:val="20"/>
                    </w:rPr>
                    <w:t>控制柜外壳防护等级不低于IP54</w:t>
                  </w:r>
                </w:p>
                <w:p w14:paraId="673A3217">
                  <w:pPr>
                    <w:widowControl/>
                    <w:numPr>
                      <w:ilvl w:val="0"/>
                      <w:numId w:val="6"/>
                    </w:numPr>
                    <w:jc w:val="left"/>
                    <w:rPr>
                      <w:rFonts w:hint="eastAsia" w:ascii="仿宋" w:hAnsi="仿宋" w:eastAsia="仿宋" w:cs="仿宋"/>
                      <w:bCs/>
                      <w:kern w:val="0"/>
                      <w:sz w:val="20"/>
                      <w:szCs w:val="20"/>
                    </w:rPr>
                  </w:pPr>
                  <w:r>
                    <w:rPr>
                      <w:rFonts w:hint="eastAsia" w:ascii="仿宋" w:hAnsi="仿宋" w:eastAsia="仿宋" w:cs="仿宋"/>
                      <w:bCs/>
                      <w:kern w:val="0"/>
                      <w:sz w:val="20"/>
                      <w:szCs w:val="20"/>
                    </w:rPr>
                    <w:t xml:space="preserve">柜体采用十六折型材框架，前后门、顶板及侧板可拆卸，柜门采用防水锁，门上配镀锌方管式加强筋，聚氨酯涂胶发泡密封条 </w:t>
                  </w:r>
                </w:p>
                <w:p w14:paraId="1AF3273D">
                  <w:pPr>
                    <w:widowControl/>
                    <w:numPr>
                      <w:ilvl w:val="0"/>
                      <w:numId w:val="6"/>
                    </w:numPr>
                    <w:jc w:val="left"/>
                    <w:rPr>
                      <w:rFonts w:hint="eastAsia" w:ascii="仿宋" w:hAnsi="仿宋" w:eastAsia="仿宋" w:cs="仿宋"/>
                      <w:bCs/>
                      <w:kern w:val="0"/>
                      <w:sz w:val="20"/>
                      <w:szCs w:val="20"/>
                    </w:rPr>
                  </w:pPr>
                  <w:r>
                    <w:rPr>
                      <w:rFonts w:hint="eastAsia" w:ascii="仿宋" w:hAnsi="仿宋" w:eastAsia="仿宋" w:cs="仿宋"/>
                      <w:bCs/>
                      <w:kern w:val="0"/>
                      <w:sz w:val="20"/>
                      <w:szCs w:val="20"/>
                    </w:rPr>
                    <w:t>采用经冷辊轧制成的机柜专用钢型材，符合国家标准，柜体、底座及门表面经过酸洗、磷化、除蜡、水洗、净化等12道标准前处理工序后，静电喷涂底漆，表面喷塑，颜色RAL7035（工业灰）</w:t>
                  </w:r>
                </w:p>
              </w:tc>
            </w:tr>
          </w:tbl>
          <w:p w14:paraId="71BA18D6">
            <w:pPr>
              <w:pStyle w:val="11"/>
              <w:numPr>
                <w:ilvl w:val="0"/>
                <w:numId w:val="0"/>
              </w:numPr>
              <w:rPr>
                <w:rFonts w:ascii="Arial" w:hAnsi="Arial" w:eastAsia="宋体" w:cs="Arial"/>
                <w:szCs w:val="21"/>
                <w:shd w:val="clear" w:color="auto" w:fill="FFFFFF"/>
              </w:rPr>
            </w:pPr>
            <w:bookmarkStart w:id="1" w:name="_GoBack"/>
            <w:bookmarkEnd w:id="1"/>
          </w:p>
        </w:tc>
        <w:tc>
          <w:tcPr>
            <w:tcW w:w="1418" w:type="dxa"/>
            <w:vAlign w:val="center"/>
          </w:tcPr>
          <w:p w14:paraId="205FF5AB">
            <w:pPr>
              <w:spacing w:line="240" w:lineRule="atLeast"/>
              <w:jc w:val="center"/>
            </w:pPr>
          </w:p>
        </w:tc>
        <w:tc>
          <w:tcPr>
            <w:tcW w:w="992" w:type="dxa"/>
            <w:vAlign w:val="center"/>
          </w:tcPr>
          <w:p w14:paraId="1C60665B">
            <w:pPr>
              <w:spacing w:line="240" w:lineRule="atLeast"/>
              <w:jc w:val="center"/>
            </w:pPr>
          </w:p>
        </w:tc>
      </w:tr>
      <w:tr w14:paraId="497EA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6" w:hRule="atLeast"/>
        </w:trPr>
        <w:tc>
          <w:tcPr>
            <w:tcW w:w="705" w:type="dxa"/>
            <w:vAlign w:val="center"/>
          </w:tcPr>
          <w:p w14:paraId="21D5CC9B">
            <w:pPr>
              <w:spacing w:line="240" w:lineRule="atLeast"/>
              <w:jc w:val="center"/>
            </w:pPr>
            <w:r>
              <w:t>2</w:t>
            </w:r>
          </w:p>
        </w:tc>
        <w:tc>
          <w:tcPr>
            <w:tcW w:w="1422" w:type="dxa"/>
            <w:tcBorders>
              <w:top w:val="single" w:color="auto" w:sz="4" w:space="0"/>
              <w:left w:val="single" w:color="auto" w:sz="4" w:space="0"/>
              <w:bottom w:val="single" w:color="auto" w:sz="4" w:space="0"/>
              <w:right w:val="single" w:color="auto" w:sz="4" w:space="0"/>
            </w:tcBorders>
            <w:shd w:val="clear" w:color="auto" w:fill="auto"/>
            <w:vAlign w:val="center"/>
          </w:tcPr>
          <w:p w14:paraId="2217188C">
            <w:pPr>
              <w:widowControl/>
              <w:spacing w:line="240" w:lineRule="atLeast"/>
              <w:jc w:val="center"/>
            </w:pPr>
            <w:r>
              <w:rPr>
                <w:rFonts w:hint="eastAsia"/>
              </w:rPr>
              <w:t>商务条款</w:t>
            </w:r>
          </w:p>
        </w:tc>
        <w:tc>
          <w:tcPr>
            <w:tcW w:w="5244" w:type="dxa"/>
            <w:tcBorders>
              <w:top w:val="single" w:color="auto" w:sz="4" w:space="0"/>
              <w:left w:val="nil"/>
              <w:bottom w:val="single" w:color="auto" w:sz="4" w:space="0"/>
              <w:right w:val="single" w:color="auto" w:sz="4" w:space="0"/>
            </w:tcBorders>
            <w:shd w:val="clear" w:color="auto" w:fill="auto"/>
            <w:vAlign w:val="center"/>
          </w:tcPr>
          <w:p w14:paraId="62826E3E">
            <w:pPr>
              <w:tabs>
                <w:tab w:val="left" w:pos="6915"/>
              </w:tabs>
              <w:jc w:val="left"/>
              <w:rPr>
                <w:rFonts w:hint="eastAsia" w:ascii="Times New Roman" w:hAnsi="Times New Roman" w:eastAsia="仿宋"/>
                <w:b/>
                <w:szCs w:val="21"/>
                <w:lang w:val="en-US" w:eastAsia="zh-CN"/>
              </w:rPr>
            </w:pPr>
            <w:r>
              <w:rPr>
                <w:rFonts w:hint="eastAsia" w:ascii="仿宋" w:hAnsi="仿宋" w:eastAsia="仿宋" w:cs="仿宋"/>
                <w:b/>
                <w:szCs w:val="21"/>
              </w:rPr>
              <w:t>交货期：</w:t>
            </w:r>
            <w:r>
              <w:rPr>
                <w:rFonts w:hint="eastAsia" w:ascii="Times New Roman" w:hAnsi="Times New Roman" w:eastAsia="仿宋"/>
                <w:bCs/>
                <w:szCs w:val="21"/>
              </w:rPr>
              <w:t>合同签订后</w:t>
            </w:r>
            <w:r>
              <w:rPr>
                <w:rFonts w:hint="eastAsia" w:ascii="Times New Roman" w:hAnsi="Times New Roman" w:eastAsia="仿宋"/>
                <w:bCs/>
                <w:szCs w:val="21"/>
                <w:lang w:val="en-US" w:eastAsia="zh-CN"/>
              </w:rPr>
              <w:t>5</w:t>
            </w:r>
            <w:r>
              <w:rPr>
                <w:rFonts w:hint="eastAsia" w:ascii="Times New Roman" w:hAnsi="Times New Roman" w:eastAsia="仿宋"/>
                <w:bCs/>
                <w:szCs w:val="21"/>
              </w:rPr>
              <w:t>个月</w:t>
            </w:r>
            <w:r>
              <w:rPr>
                <w:rFonts w:hint="eastAsia" w:ascii="Times New Roman" w:hAnsi="Times New Roman" w:eastAsia="仿宋"/>
                <w:bCs/>
                <w:szCs w:val="21"/>
                <w:lang w:val="en-US" w:eastAsia="zh-CN"/>
              </w:rPr>
              <w:t>内交付</w:t>
            </w:r>
          </w:p>
          <w:p w14:paraId="7F198AF8">
            <w:pPr>
              <w:tabs>
                <w:tab w:val="left" w:pos="6915"/>
              </w:tabs>
              <w:jc w:val="left"/>
              <w:rPr>
                <w:rFonts w:ascii="Times New Roman" w:hAnsi="Times New Roman" w:eastAsia="仿宋"/>
                <w:bCs/>
                <w:szCs w:val="21"/>
              </w:rPr>
            </w:pPr>
            <w:r>
              <w:rPr>
                <w:rFonts w:hint="eastAsia" w:ascii="仿宋" w:hAnsi="仿宋" w:eastAsia="仿宋" w:cs="仿宋"/>
                <w:b/>
                <w:szCs w:val="21"/>
              </w:rPr>
              <w:t>交付进度：</w:t>
            </w:r>
            <w:r>
              <w:rPr>
                <w:rFonts w:hint="eastAsia" w:ascii="Times New Roman" w:hAnsi="Times New Roman" w:eastAsia="仿宋"/>
                <w:bCs/>
                <w:szCs w:val="21"/>
              </w:rPr>
              <w:t>一次性交付。</w:t>
            </w:r>
          </w:p>
          <w:p w14:paraId="7CBE33EF">
            <w:pPr>
              <w:tabs>
                <w:tab w:val="left" w:pos="6915"/>
              </w:tabs>
              <w:jc w:val="left"/>
              <w:rPr>
                <w:rFonts w:hint="eastAsia" w:ascii="Times New Roman" w:hAnsi="Times New Roman" w:eastAsia="仿宋"/>
                <w:szCs w:val="21"/>
              </w:rPr>
            </w:pPr>
            <w:r>
              <w:rPr>
                <w:rFonts w:hint="eastAsia" w:ascii="仿宋" w:hAnsi="仿宋" w:eastAsia="仿宋" w:cs="仿宋"/>
                <w:b/>
                <w:szCs w:val="21"/>
              </w:rPr>
              <w:t>付款方式：</w:t>
            </w:r>
            <w:r>
              <w:rPr>
                <w:rFonts w:hint="eastAsia" w:ascii="Times New Roman" w:hAnsi="Times New Roman" w:eastAsia="仿宋"/>
                <w:szCs w:val="21"/>
              </w:rPr>
              <w:t>合同签订后支付合同总额的30%，货到验收合格后支付尾款</w:t>
            </w:r>
            <w:r>
              <w:rPr>
                <w:rFonts w:hint="eastAsia" w:eastAsia="仿宋"/>
                <w:szCs w:val="21"/>
                <w:lang w:eastAsia="zh-CN"/>
              </w:rPr>
              <w:t>。</w:t>
            </w:r>
          </w:p>
          <w:p w14:paraId="50609E60">
            <w:pPr>
              <w:tabs>
                <w:tab w:val="left" w:pos="6915"/>
              </w:tabs>
              <w:jc w:val="left"/>
              <w:rPr>
                <w:rFonts w:hint="eastAsia" w:ascii="仿宋" w:hAnsi="仿宋" w:eastAsia="仿宋" w:cs="仿宋"/>
                <w:b/>
                <w:szCs w:val="21"/>
              </w:rPr>
            </w:pPr>
            <w:r>
              <w:rPr>
                <w:rFonts w:hint="eastAsia" w:ascii="仿宋" w:hAnsi="仿宋" w:eastAsia="仿宋" w:cs="仿宋"/>
                <w:b/>
                <w:szCs w:val="21"/>
              </w:rPr>
              <w:t>验收指标及验收要求：</w:t>
            </w:r>
          </w:p>
          <w:p w14:paraId="3364DAC1">
            <w:pPr>
              <w:tabs>
                <w:tab w:val="left" w:pos="6915"/>
              </w:tabs>
              <w:jc w:val="left"/>
              <w:rPr>
                <w:rFonts w:hint="eastAsia" w:ascii="仿宋" w:hAnsi="仿宋" w:eastAsia="仿宋" w:cs="仿宋"/>
                <w:kern w:val="0"/>
                <w:sz w:val="20"/>
                <w:szCs w:val="20"/>
              </w:rPr>
            </w:pPr>
            <w:r>
              <w:rPr>
                <w:rFonts w:hint="eastAsia" w:ascii="仿宋" w:hAnsi="仿宋" w:eastAsia="仿宋" w:cs="仿宋"/>
                <w:bCs/>
                <w:sz w:val="20"/>
                <w:szCs w:val="20"/>
              </w:rPr>
              <w:t>1.</w:t>
            </w:r>
            <w:r>
              <w:rPr>
                <w:rFonts w:hint="eastAsia" w:ascii="仿宋" w:hAnsi="仿宋" w:eastAsia="仿宋" w:cs="仿宋"/>
                <w:kern w:val="0"/>
                <w:sz w:val="20"/>
                <w:szCs w:val="20"/>
              </w:rPr>
              <w:t>出厂检验测试记录和报告。</w:t>
            </w:r>
          </w:p>
          <w:p w14:paraId="2A3A3B96">
            <w:pPr>
              <w:tabs>
                <w:tab w:val="left" w:pos="6915"/>
              </w:tabs>
              <w:jc w:val="left"/>
              <w:rPr>
                <w:rFonts w:hint="eastAsia" w:ascii="仿宋" w:hAnsi="仿宋" w:eastAsia="仿宋" w:cs="仿宋"/>
                <w:bCs/>
                <w:sz w:val="20"/>
                <w:szCs w:val="20"/>
              </w:rPr>
            </w:pPr>
            <w:r>
              <w:rPr>
                <w:rFonts w:hint="eastAsia" w:ascii="仿宋" w:hAnsi="仿宋" w:eastAsia="仿宋" w:cs="仿宋"/>
                <w:bCs/>
                <w:sz w:val="20"/>
                <w:szCs w:val="20"/>
              </w:rPr>
              <w:t>2.验收期间，货物数量、规格型号等与本合同约定不符，或存在质量问题的，乙方应在接到甲方异议之日起 3日内更换合格产品重新交付至甲方指定地点，并承担因此而发生的相关费用。</w:t>
            </w:r>
          </w:p>
          <w:p w14:paraId="5E4715B7">
            <w:pPr>
              <w:tabs>
                <w:tab w:val="left" w:pos="6915"/>
              </w:tabs>
              <w:jc w:val="left"/>
              <w:rPr>
                <w:rFonts w:hint="eastAsia" w:ascii="仿宋" w:hAnsi="仿宋" w:eastAsia="仿宋" w:cs="仿宋"/>
                <w:bCs/>
                <w:sz w:val="20"/>
                <w:szCs w:val="20"/>
              </w:rPr>
            </w:pPr>
            <w:r>
              <w:rPr>
                <w:rFonts w:hint="eastAsia" w:ascii="仿宋" w:hAnsi="仿宋" w:eastAsia="仿宋" w:cs="仿宋"/>
                <w:bCs/>
                <w:sz w:val="20"/>
                <w:szCs w:val="20"/>
              </w:rPr>
              <w:t>3.方案安全、合理；所提供的货物为全新合格标准正品，所有产品均符合国家和行业相关技术规范要求以及甲方的特殊质量要求。保证属于合法销售的产品，资料齐全（包含出厂检验报告、合格证、使用手册等其他相关资料），包装完整。</w:t>
            </w:r>
          </w:p>
          <w:p w14:paraId="7736BC9A">
            <w:pPr>
              <w:tabs>
                <w:tab w:val="left" w:pos="6915"/>
              </w:tabs>
              <w:jc w:val="left"/>
              <w:rPr>
                <w:rFonts w:ascii="Arial" w:hAnsi="Arial" w:eastAsia="宋体" w:cs="Arial"/>
                <w:szCs w:val="21"/>
                <w:shd w:val="clear" w:color="auto" w:fill="FFFFFF"/>
              </w:rPr>
            </w:pPr>
            <w:r>
              <w:rPr>
                <w:rFonts w:hint="eastAsia" w:ascii="仿宋" w:hAnsi="仿宋" w:eastAsia="仿宋" w:cs="仿宋"/>
                <w:b/>
                <w:szCs w:val="21"/>
              </w:rPr>
              <w:t>保修及售后服务：</w:t>
            </w:r>
            <w:r>
              <w:rPr>
                <w:rFonts w:hint="eastAsia" w:ascii="仿宋" w:hAnsi="仿宋" w:eastAsia="仿宋" w:cs="仿宋"/>
                <w:bCs/>
                <w:kern w:val="0"/>
                <w:sz w:val="20"/>
                <w:szCs w:val="20"/>
              </w:rPr>
              <w:t>产品质保期为 36 个月，时间自验收合格之日起计算。质保期内货物出现质量问题的，乙方应自接到甲方异议之日起 3 日内以更换等方式解决，因此所发生的费用由乙方承担。乙方免费提供必要的技术咨询以确保甲方能安全、有效的使用标的货物。</w:t>
            </w:r>
          </w:p>
        </w:tc>
        <w:tc>
          <w:tcPr>
            <w:tcW w:w="1418" w:type="dxa"/>
            <w:vAlign w:val="center"/>
          </w:tcPr>
          <w:p w14:paraId="324B1D27">
            <w:pPr>
              <w:spacing w:line="240" w:lineRule="atLeast"/>
              <w:jc w:val="center"/>
            </w:pPr>
          </w:p>
        </w:tc>
        <w:tc>
          <w:tcPr>
            <w:tcW w:w="992" w:type="dxa"/>
            <w:vAlign w:val="center"/>
          </w:tcPr>
          <w:p w14:paraId="06AA2CA0">
            <w:pPr>
              <w:spacing w:line="240" w:lineRule="atLeast"/>
              <w:jc w:val="center"/>
            </w:pPr>
          </w:p>
        </w:tc>
      </w:tr>
    </w:tbl>
    <w:p w14:paraId="6DFFEB29">
      <w:pPr>
        <w:ind w:right="840"/>
        <w:rPr>
          <w:sz w:val="24"/>
        </w:rPr>
      </w:pPr>
    </w:p>
    <w:p w14:paraId="0DED7F3B">
      <w:pPr>
        <w:ind w:right="840" w:firstLine="5040" w:firstLineChars="2100"/>
        <w:rPr>
          <w:sz w:val="24"/>
        </w:rPr>
      </w:pPr>
    </w:p>
    <w:p w14:paraId="6B36AD4F">
      <w:pPr>
        <w:ind w:right="840" w:firstLine="5040" w:firstLineChars="2100"/>
        <w:rPr>
          <w:sz w:val="24"/>
        </w:rPr>
      </w:pPr>
      <w:r>
        <w:rPr>
          <w:sz w:val="24"/>
        </w:rPr>
        <w:t>公司名称</w:t>
      </w:r>
      <w:r>
        <w:rPr>
          <w:rFonts w:hint="eastAsia"/>
          <w:sz w:val="24"/>
        </w:rPr>
        <w:t>（盖章）：</w:t>
      </w:r>
    </w:p>
    <w:p w14:paraId="2BA3965A">
      <w:pPr>
        <w:ind w:right="840"/>
        <w:jc w:val="center"/>
        <w:rPr>
          <w:sz w:val="24"/>
        </w:rPr>
      </w:pPr>
      <w:r>
        <w:rPr>
          <w:rFonts w:hint="eastAsia"/>
          <w:sz w:val="24"/>
        </w:rPr>
        <w:t xml:space="preserve"> </w:t>
      </w:r>
      <w:r>
        <w:rPr>
          <w:sz w:val="24"/>
        </w:rPr>
        <w:t xml:space="preserve">                            日期</w:t>
      </w:r>
      <w:r>
        <w:rPr>
          <w:rFonts w:hint="eastAsia"/>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YaHei">
    <w:altName w:val="宋体"/>
    <w:panose1 w:val="00000000000000000000"/>
    <w:charset w:val="86"/>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200A0E"/>
    <w:multiLevelType w:val="multilevel"/>
    <w:tmpl w:val="16200A0E"/>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A226872"/>
    <w:multiLevelType w:val="multilevel"/>
    <w:tmpl w:val="3A22687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48D18B1"/>
    <w:multiLevelType w:val="multilevel"/>
    <w:tmpl w:val="448D18B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3691DD6"/>
    <w:multiLevelType w:val="multilevel"/>
    <w:tmpl w:val="53691DD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7C674048"/>
    <w:multiLevelType w:val="multilevel"/>
    <w:tmpl w:val="7C67404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7F274DB4"/>
    <w:multiLevelType w:val="multilevel"/>
    <w:tmpl w:val="7F274DB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10C4"/>
    <w:rsid w:val="00015CB8"/>
    <w:rsid w:val="00020783"/>
    <w:rsid w:val="00025804"/>
    <w:rsid w:val="00050922"/>
    <w:rsid w:val="00086882"/>
    <w:rsid w:val="00090223"/>
    <w:rsid w:val="00091C8D"/>
    <w:rsid w:val="000E54CE"/>
    <w:rsid w:val="00102C13"/>
    <w:rsid w:val="00123779"/>
    <w:rsid w:val="001501D1"/>
    <w:rsid w:val="001548E0"/>
    <w:rsid w:val="001B219D"/>
    <w:rsid w:val="001D3367"/>
    <w:rsid w:val="002026B2"/>
    <w:rsid w:val="002212AC"/>
    <w:rsid w:val="00261EE1"/>
    <w:rsid w:val="00267E42"/>
    <w:rsid w:val="002D1729"/>
    <w:rsid w:val="002E518A"/>
    <w:rsid w:val="003009AA"/>
    <w:rsid w:val="003438B5"/>
    <w:rsid w:val="00363C73"/>
    <w:rsid w:val="003923FC"/>
    <w:rsid w:val="003C2330"/>
    <w:rsid w:val="003C7C5A"/>
    <w:rsid w:val="004626C3"/>
    <w:rsid w:val="00474B94"/>
    <w:rsid w:val="004973C3"/>
    <w:rsid w:val="004B0D2F"/>
    <w:rsid w:val="00516FB3"/>
    <w:rsid w:val="00547A75"/>
    <w:rsid w:val="00584F75"/>
    <w:rsid w:val="005C4758"/>
    <w:rsid w:val="005C4AA6"/>
    <w:rsid w:val="005E2C0C"/>
    <w:rsid w:val="005F14E0"/>
    <w:rsid w:val="005F7E7B"/>
    <w:rsid w:val="006074C0"/>
    <w:rsid w:val="00630F8F"/>
    <w:rsid w:val="00642CDA"/>
    <w:rsid w:val="00670B3D"/>
    <w:rsid w:val="006C07B4"/>
    <w:rsid w:val="006D67E0"/>
    <w:rsid w:val="00705387"/>
    <w:rsid w:val="00720BC4"/>
    <w:rsid w:val="007230C5"/>
    <w:rsid w:val="00731AE1"/>
    <w:rsid w:val="00744E8E"/>
    <w:rsid w:val="00750961"/>
    <w:rsid w:val="00757D88"/>
    <w:rsid w:val="007A4C29"/>
    <w:rsid w:val="007B2AE3"/>
    <w:rsid w:val="00811B08"/>
    <w:rsid w:val="00825420"/>
    <w:rsid w:val="00832C3E"/>
    <w:rsid w:val="00872767"/>
    <w:rsid w:val="00877DA3"/>
    <w:rsid w:val="00886A2E"/>
    <w:rsid w:val="008A717C"/>
    <w:rsid w:val="008D62B6"/>
    <w:rsid w:val="008E3DB8"/>
    <w:rsid w:val="008F0FFC"/>
    <w:rsid w:val="008F5C2B"/>
    <w:rsid w:val="009149BA"/>
    <w:rsid w:val="00961437"/>
    <w:rsid w:val="00965011"/>
    <w:rsid w:val="00995429"/>
    <w:rsid w:val="00996AC3"/>
    <w:rsid w:val="009B6E26"/>
    <w:rsid w:val="009C3224"/>
    <w:rsid w:val="009C4C31"/>
    <w:rsid w:val="009F0C82"/>
    <w:rsid w:val="009F5C3A"/>
    <w:rsid w:val="00A01094"/>
    <w:rsid w:val="00A11447"/>
    <w:rsid w:val="00A20D98"/>
    <w:rsid w:val="00A27625"/>
    <w:rsid w:val="00A44E8A"/>
    <w:rsid w:val="00A533CA"/>
    <w:rsid w:val="00A8112C"/>
    <w:rsid w:val="00AC1D37"/>
    <w:rsid w:val="00AC67EF"/>
    <w:rsid w:val="00AF7A8B"/>
    <w:rsid w:val="00B04741"/>
    <w:rsid w:val="00B311D0"/>
    <w:rsid w:val="00B64004"/>
    <w:rsid w:val="00B7785A"/>
    <w:rsid w:val="00B90DC2"/>
    <w:rsid w:val="00B971DE"/>
    <w:rsid w:val="00BA1B3F"/>
    <w:rsid w:val="00BC2767"/>
    <w:rsid w:val="00C102A3"/>
    <w:rsid w:val="00C1298E"/>
    <w:rsid w:val="00C26D9F"/>
    <w:rsid w:val="00C442AD"/>
    <w:rsid w:val="00CA3288"/>
    <w:rsid w:val="00CA3E3B"/>
    <w:rsid w:val="00D011DC"/>
    <w:rsid w:val="00D04097"/>
    <w:rsid w:val="00D24D09"/>
    <w:rsid w:val="00D72E1E"/>
    <w:rsid w:val="00D81354"/>
    <w:rsid w:val="00E00131"/>
    <w:rsid w:val="00E147A9"/>
    <w:rsid w:val="00E5012E"/>
    <w:rsid w:val="00E762FD"/>
    <w:rsid w:val="00E930C8"/>
    <w:rsid w:val="00EA412A"/>
    <w:rsid w:val="00EA6BA9"/>
    <w:rsid w:val="00F347F0"/>
    <w:rsid w:val="00F34AE9"/>
    <w:rsid w:val="00F357B0"/>
    <w:rsid w:val="00F43549"/>
    <w:rsid w:val="00F50B62"/>
    <w:rsid w:val="00F70F95"/>
    <w:rsid w:val="00F829DE"/>
    <w:rsid w:val="00F82AA6"/>
    <w:rsid w:val="00F855E3"/>
    <w:rsid w:val="00FC7C08"/>
    <w:rsid w:val="00FE15FA"/>
    <w:rsid w:val="08B672EA"/>
    <w:rsid w:val="0C7718F8"/>
    <w:rsid w:val="2D070EC5"/>
    <w:rsid w:val="46BB5348"/>
    <w:rsid w:val="51936088"/>
    <w:rsid w:val="668D65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spacing w:beforeAutospacing="1" w:afterAutospacing="1" w:line="278" w:lineRule="auto"/>
      <w:jc w:val="left"/>
    </w:pPr>
    <w:rPr>
      <w:rFonts w:ascii="Times New Roman" w:hAnsi="Times New Roman" w:eastAsia="宋体" w:cs="Times New Roman"/>
      <w:kern w:val="0"/>
      <w:sz w:val="24"/>
      <w:szCs w:val="24"/>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fontstyle01"/>
    <w:basedOn w:val="7"/>
    <w:qFormat/>
    <w:uiPriority w:val="0"/>
    <w:rPr>
      <w:rFonts w:hint="default" w:ascii="MicrosoftYaHei" w:hAnsi="MicrosoftYaHei"/>
      <w:color w:val="000000"/>
      <w:sz w:val="22"/>
      <w:szCs w:val="22"/>
    </w:rPr>
  </w:style>
  <w:style w:type="character" w:customStyle="1" w:styleId="9">
    <w:name w:val="页眉 字符"/>
    <w:basedOn w:val="7"/>
    <w:link w:val="3"/>
    <w:qFormat/>
    <w:uiPriority w:val="99"/>
    <w:rPr>
      <w:sz w:val="18"/>
      <w:szCs w:val="18"/>
    </w:rPr>
  </w:style>
  <w:style w:type="character" w:customStyle="1" w:styleId="10">
    <w:name w:val="页脚 字符"/>
    <w:basedOn w:val="7"/>
    <w:link w:val="2"/>
    <w:qFormat/>
    <w:uiPriority w:val="99"/>
    <w:rPr>
      <w:sz w:val="18"/>
      <w:szCs w:val="18"/>
    </w:rPr>
  </w:style>
  <w:style w:type="paragraph" w:styleId="11">
    <w:name w:val="List Paragraph"/>
    <w:basedOn w:val="1"/>
    <w:autoRedefine/>
    <w:qFormat/>
    <w:uiPriority w:val="34"/>
    <w:pPr>
      <w:tabs>
        <w:tab w:val="left" w:pos="1428"/>
      </w:tabs>
      <w:ind w:firstLine="420" w:firstLineChars="200"/>
      <w:jc w:val="left"/>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3</Pages>
  <Words>434</Words>
  <Characters>486</Characters>
  <Lines>4</Lines>
  <Paragraphs>1</Paragraphs>
  <TotalTime>1</TotalTime>
  <ScaleCrop>false</ScaleCrop>
  <LinksUpToDate>false</LinksUpToDate>
  <CharactersWithSpaces>515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2024-07-15T01:36:00Z</dcterms:created>
  <dc:creator>China</dc:creator>
  <cp:lastModifiedBy>陈文佳</cp:lastModifiedBy>
  <dcterms:modified xsi:type="dcterms:W3CDTF">2026-11-02T07:34:20Z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eyJoZGlkIjoiMzc0OTQ1OWZiNDc3Y2MyZmZmZWIzYzRlODQ4NDE3OTYiLCJ1c2VySWQiOiIxNzc0OTA2Mjk1In0=</vt:lpwstr>
  </property>
  <property fmtid="{D5CDD505-2E9C-101B-9397-08002B2CF9AE}" pid="3" name="KSOProductBuildVer">
    <vt:lpwstr>2052-12.1.0.28043</vt:lpwstr>
  </property>
  <property fmtid="{D5CDD505-2E9C-101B-9397-08002B2CF9AE}" pid="4" name="ICV">
    <vt:lpwstr>20B1B4D6E71F47CB8E65CCEFBC87FC75_12</vt:lpwstr>
  </property>
</Properties>
</file>