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/>
                <w:bCs/>
                <w:szCs w:val="21"/>
                <w:shd w:val="clear" w:color="auto" w:fill="FFFFFF"/>
              </w:rPr>
              <w:t>WR定时系统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D0B8D64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  <w:t>（1）1台时钟主节点</w:t>
            </w:r>
          </w:p>
          <w:p w14:paraId="1F3C16E3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接收定时触发信号，将接收到的触发信号转换为相应的时钟信息，再通过接入定时网络分发该时钟信息。</w:t>
            </w:r>
          </w:p>
          <w:p w14:paraId="5F46C8F9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机箱高度为1U，宽度为19英寸，深度≤50cm；</w:t>
            </w:r>
          </w:p>
          <w:p w14:paraId="3998CF60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≥4路触发输入通道（10kHz以内的周期信号或单次脉冲信号）；</w:t>
            </w:r>
          </w:p>
          <w:p w14:paraId="36586453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供电一路，220V电压；</w:t>
            </w:r>
          </w:p>
          <w:p w14:paraId="780DA4CF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4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支持SNMP远程管理协议。</w:t>
            </w:r>
          </w:p>
          <w:p w14:paraId="3E787F2D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  <w:t>（2）1台时钟扇出模块</w:t>
            </w:r>
          </w:p>
          <w:p w14:paraId="2FB3C36E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通过定时网络接收来自主节点的时钟信息，解码并恢复出相应的脉冲信号。</w:t>
            </w:r>
          </w:p>
          <w:p w14:paraId="1E5D23E3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机箱高度为1U，宽度为19英寸，深度≤50cm；</w:t>
            </w:r>
          </w:p>
          <w:p w14:paraId="76367588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8路触发输出通道；</w:t>
            </w:r>
          </w:p>
          <w:p w14:paraId="2247D9D8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从节点输出脉冲信号之间的抖动（jitter）标准差≤50ps；</w:t>
            </w:r>
          </w:p>
          <w:p w14:paraId="397CFBA0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4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延时调节范围：50ps - 1s，调节最小步长100ps；</w:t>
            </w:r>
          </w:p>
          <w:p w14:paraId="0ACDFFE5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5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脉宽可调范围：10ns - 10ms，调节最小步长10ns；</w:t>
            </w:r>
          </w:p>
          <w:p w14:paraId="1BDEB4B5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6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供电一路，220V电压；</w:t>
            </w:r>
          </w:p>
          <w:p w14:paraId="62111BC3">
            <w:pPr>
              <w:tabs>
                <w:tab w:val="left" w:pos="6915"/>
              </w:tabs>
              <w:jc w:val="left"/>
              <w:rPr>
                <w:rFonts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7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支持SNMP远程管理协议。</w:t>
            </w:r>
          </w:p>
          <w:p w14:paraId="1C11E347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  <w:t>（3）2块时钟从节点</w:t>
            </w:r>
          </w:p>
          <w:p w14:paraId="7548EA5D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嵌入型FMC板卡通过定时网络接收来自主节点的时钟信息，相关载板可通过FMC板卡的引脚读取触发脉冲信号。</w:t>
            </w:r>
          </w:p>
          <w:p w14:paraId="0953EE3F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从节点输出脉冲信号之间的抖动（jitter）标准差≤50ps；</w:t>
            </w:r>
          </w:p>
          <w:p w14:paraId="73E78F1F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延时调节范围：50ps - 1s，调节最小步长100ps；</w:t>
            </w:r>
          </w:p>
          <w:p w14:paraId="156A86DC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脉宽可调范围：10ns - 10ms，调节最小步长10ns；</w:t>
            </w:r>
          </w:p>
          <w:p w14:paraId="32C45D4C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4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1路触发输出通道，可通过FMC接口引脚输出至载板；</w:t>
            </w:r>
          </w:p>
          <w:p w14:paraId="323BE901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5</w:t>
            </w:r>
            <w:r>
              <w:rPr>
                <w:rFonts w:ascii="Arial" w:hAnsi="Arial" w:cs="Arial"/>
                <w:szCs w:val="21"/>
                <w:shd w:val="clear" w:color="auto" w:fill="FFFFFF"/>
              </w:rPr>
              <w:t xml:space="preserve">. </w:t>
            </w: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支持SNMP远程管理协议。</w:t>
            </w:r>
          </w:p>
          <w:p w14:paraId="3F668E46">
            <w:pPr>
              <w:tabs>
                <w:tab w:val="left" w:pos="6915"/>
              </w:tabs>
              <w:jc w:val="left"/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b/>
                <w:bCs/>
                <w:szCs w:val="21"/>
                <w:shd w:val="clear" w:color="auto" w:fill="FFFFFF"/>
              </w:rPr>
              <w:t>（4）WR定时软件开发</w:t>
            </w:r>
          </w:p>
          <w:p w14:paraId="1714DC12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Arial" w:hAnsi="Arial" w:cs="Arial"/>
                <w:szCs w:val="21"/>
                <w:shd w:val="clear" w:color="auto" w:fill="FFFFFF"/>
              </w:rPr>
              <w:t>支持通过SNMP协议进行组群管理与寄存器读写，包含对时钟脉冲输出延时与脉宽的设置与读取等。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D49D3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</w:t>
            </w:r>
            <w:r>
              <w:rPr>
                <w:szCs w:val="21"/>
              </w:rPr>
              <w:t>60</w:t>
            </w:r>
            <w:r>
              <w:rPr>
                <w:rFonts w:hint="eastAsia"/>
                <w:szCs w:val="21"/>
              </w:rPr>
              <w:t>天内将货物送达至甲方指定地点。</w:t>
            </w:r>
          </w:p>
          <w:p w14:paraId="28AAA73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合同签订后</w:t>
            </w:r>
            <w:r>
              <w:rPr>
                <w:rFonts w:hint="eastAsia"/>
                <w:szCs w:val="21"/>
                <w:lang w:val="en-US" w:eastAsia="zh-CN"/>
              </w:rPr>
              <w:t>预付合同总额的</w:t>
            </w:r>
            <w:r>
              <w:rPr>
                <w:rFonts w:hint="eastAsia"/>
                <w:szCs w:val="21"/>
              </w:rPr>
              <w:t>50%，货到验收后凭发票报销支付尾款。</w:t>
            </w:r>
          </w:p>
          <w:p w14:paraId="02572345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/>
                <w:szCs w:val="21"/>
              </w:rPr>
              <w:t>厂家提供出厂测试报告。</w:t>
            </w:r>
          </w:p>
          <w:p w14:paraId="1AF25360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0D175B3"/>
    <w:rsid w:val="2D070EC5"/>
    <w:rsid w:val="46BB5348"/>
    <w:rsid w:val="51936088"/>
    <w:rsid w:val="5EBC5915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550</Words>
  <Characters>584</Characters>
  <Lines>4</Lines>
  <Paragraphs>1</Paragraphs>
  <TotalTime>0</TotalTime>
  <ScaleCrop>false</ScaleCrop>
  <LinksUpToDate>false</LinksUpToDate>
  <CharactersWithSpaces>617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2026-05-25T07:14:33Z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