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098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1097"/>
        <w:gridCol w:w="5938"/>
        <w:gridCol w:w="1385"/>
        <w:gridCol w:w="976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72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143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743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64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23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72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1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8A5544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UPS及配套设备</w:t>
            </w:r>
            <w:bookmarkStart w:id="0" w:name="_GoBack"/>
            <w:bookmarkEnd w:id="0"/>
          </w:p>
        </w:tc>
        <w:tc>
          <w:tcPr>
            <w:tcW w:w="574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D911E7B">
            <w:pPr>
              <w:tabs>
                <w:tab w:val="left" w:pos="6915"/>
              </w:tabs>
              <w:spacing w:line="36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UPS及配套设备，具体组件及技术要求如下：</w:t>
            </w:r>
          </w:p>
          <w:tbl>
            <w:tblPr>
              <w:tblStyle w:val="6"/>
              <w:tblW w:w="5712" w:type="dxa"/>
              <w:tblInd w:w="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6"/>
              <w:gridCol w:w="4090"/>
              <w:gridCol w:w="536"/>
            </w:tblGrid>
            <w:tr w14:paraId="4A3C3F0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810" w:type="pct"/>
                  <w:vAlign w:val="center"/>
                </w:tcPr>
                <w:p w14:paraId="334B0F0E">
                  <w:pPr>
                    <w:tabs>
                      <w:tab w:val="left" w:pos="6915"/>
                    </w:tabs>
                    <w:jc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名称</w:t>
                  </w:r>
                </w:p>
              </w:tc>
              <w:tc>
                <w:tcPr>
                  <w:tcW w:w="3721" w:type="pct"/>
                  <w:vAlign w:val="center"/>
                </w:tcPr>
                <w:p w14:paraId="618D52AB">
                  <w:pPr>
                    <w:tabs>
                      <w:tab w:val="left" w:pos="6915"/>
                    </w:tabs>
                    <w:jc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技术要求</w:t>
                  </w:r>
                </w:p>
              </w:tc>
              <w:tc>
                <w:tcPr>
                  <w:tcW w:w="469" w:type="pct"/>
                  <w:vAlign w:val="center"/>
                </w:tcPr>
                <w:p w14:paraId="05A94803">
                  <w:pPr>
                    <w:tabs>
                      <w:tab w:val="left" w:pos="6915"/>
                    </w:tabs>
                    <w:jc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 w:ascii="宋体" w:hAnsi="宋体"/>
                      <w:bCs/>
                      <w:szCs w:val="21"/>
                    </w:rPr>
                    <w:t>数量</w:t>
                  </w:r>
                </w:p>
              </w:tc>
            </w:tr>
            <w:tr w14:paraId="25710EA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9" w:hRule="atLeast"/>
              </w:trPr>
              <w:tc>
                <w:tcPr>
                  <w:tcW w:w="810" w:type="pct"/>
                </w:tcPr>
                <w:p w14:paraId="044BDD1F">
                  <w:pPr>
                    <w:tabs>
                      <w:tab w:val="left" w:pos="6915"/>
                    </w:tabs>
                    <w:jc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UPS主机300KVA（配置180KVA）</w:t>
                  </w:r>
                </w:p>
              </w:tc>
              <w:tc>
                <w:tcPr>
                  <w:tcW w:w="3721" w:type="pct"/>
                </w:tcPr>
                <w:p w14:paraId="6D6EAA5A">
                  <w:r>
                    <w:rPr>
                      <w:rFonts w:hint="eastAsia"/>
                    </w:rPr>
                    <w:t xml:space="preserve">1、要求模块化机架式UPS电源系统主机，机架满载扩容不低于300KVA，本期配置不低于180KVA。 </w:t>
                  </w:r>
                </w:p>
                <w:p w14:paraId="498A3276">
                  <w:r>
                    <w:rPr>
                      <w:rFonts w:hint="eastAsia"/>
                    </w:rPr>
                    <w:t>2、UPS要求选用支持分散控制，功率模块、旁路模块支持热插拔的模块化UPS，并具有智能休眠功能。UPS主用模块能承担IT负载、电池充电负载。每个功率模块均要求内置完整的整流、逆变及控制系统，任意模块的功率或控制电路故障都不影响UPS系统整体工作运行，保证系统控制不会出现单点故障。</w:t>
                  </w:r>
                </w:p>
                <w:p w14:paraId="55BEA4C5">
                  <w:r>
                    <w:rPr>
                      <w:rFonts w:hint="eastAsia"/>
                    </w:rPr>
                    <w:t>3、采用统一的公共静态旁路模块，旁路模块应可插拔维护，其故障不影响UPS系统输出；不允许采用存在于各功率模块内的分散式静态旁路单元；</w:t>
                  </w:r>
                </w:p>
                <w:p w14:paraId="0DC3F37C">
                  <w:r>
                    <w:rPr>
                      <w:rFonts w:hint="eastAsia"/>
                    </w:rPr>
                    <w:t>4、单个UPS功率模块容量≥60KVA/KW；需提交配置详细清单说明单模块容量及配置模块数量。</w:t>
                  </w:r>
                </w:p>
                <w:p w14:paraId="31608E53">
                  <w:r>
                    <w:rPr>
                      <w:rFonts w:hint="eastAsia"/>
                    </w:rPr>
                    <w:t>5、UPS电气柜内功率模块交/直流端口并联要求采用铜排汇流方式，禁止电缆+接线端子方式。</w:t>
                  </w:r>
                </w:p>
                <w:p w14:paraId="6040DB6B">
                  <w:r>
                    <w:rPr>
                      <w:rFonts w:hint="eastAsia"/>
                    </w:rPr>
                    <w:t>6、输入、输出布线分区独立，避免走线交叉带来的安全隐患。</w:t>
                  </w:r>
                </w:p>
                <w:p w14:paraId="332E8CD6">
                  <w:r>
                    <w:rPr>
                      <w:rFonts w:hint="eastAsia"/>
                    </w:rPr>
                    <w:t>7、在下列条件下，设备应能连续正常工作，并满足性能规范要求；环境温度：工作温度：0～+40℃；相对湿度：≤95%（25℃,无凝露）；海拔高度：0～1500米，无需功率降额。</w:t>
                  </w:r>
                </w:p>
                <w:p w14:paraId="1BDDB5FA">
                  <w:r>
                    <w:rPr>
                      <w:rFonts w:hint="eastAsia"/>
                    </w:rPr>
                    <w:t>8、要求输入电压范围：285-475V，要求输入功率因数20%-100%负载情况下≥0.99，要求输入电流谐波成分20%-100负载情况下≤2.1%；</w:t>
                  </w:r>
                  <w:r>
                    <w:t xml:space="preserve"> </w:t>
                  </w:r>
                </w:p>
                <w:p w14:paraId="239AEF32">
                  <w:r>
                    <w:rPr>
                      <w:rFonts w:hint="eastAsia"/>
                    </w:rPr>
                    <w:t>9、系统效率：30%负载≥97.5%，50%负载≥97.5%，额定负载≥96.3%；</w:t>
                  </w:r>
                  <w:r>
                    <w:t xml:space="preserve"> </w:t>
                  </w:r>
                </w:p>
                <w:p w14:paraId="09D70D8F">
                  <w:r>
                    <w:rPr>
                      <w:rFonts w:hint="eastAsia"/>
                    </w:rPr>
                    <w:t>10、三相电压不平衡度满足：≤0.1％（平衡负载），≤±0.8％（不平衡负载）；三相电压输出偏差要求：正常工作方式≤0.05°，电池逆变方式≤0.04°。</w:t>
                  </w:r>
                </w:p>
                <w:p w14:paraId="1A2FE9DD">
                  <w:r>
                    <w:rPr>
                      <w:rFonts w:hint="eastAsia"/>
                    </w:rPr>
                    <w:t>11、要求具备动态在线模式，在该模式下，系统效率提升至98.8%以上（30%~100%负载时）；</w:t>
                  </w:r>
                </w:p>
                <w:p w14:paraId="3B2B7EA1">
                  <w:r>
                    <w:rPr>
                      <w:rFonts w:hint="eastAsia"/>
                    </w:rPr>
                    <w:t>12、安全要求：要求系统接地具有明显标志，接地电阻≤0.5Ω；要求系统的输入端、输出端对地能承受50HZ,2000V的正弦交流电压（漏电量≤0.4mA）或其等效峰值的2820V直流电压1分钟，且无击穿与无飞弧现象。要求接触电流和保护导体电流不大于2mA；</w:t>
                  </w:r>
                </w:p>
                <w:p w14:paraId="0EA5BAF0">
                  <w:r>
                    <w:rPr>
                      <w:rFonts w:hint="eastAsia"/>
                    </w:rPr>
                    <w:t>13、机柜表面喷涂均匀、无破损；信号灯、开关、测量显示装置布局合理。</w:t>
                  </w:r>
                </w:p>
                <w:p w14:paraId="07013181">
                  <w:pPr>
                    <w:rPr>
                      <w:szCs w:val="21"/>
                    </w:rPr>
                  </w:pPr>
                  <w:r>
                    <w:rPr>
                      <w:rFonts w:hint="eastAsia"/>
                    </w:rPr>
                    <w:t>1</w:t>
                  </w:r>
                  <w:r>
                    <w:t>4</w:t>
                  </w:r>
                  <w:r>
                    <w:rPr>
                      <w:rFonts w:hint="eastAsia"/>
                    </w:rPr>
                    <w:t>、第8项至第12项指标要求，须提供具备CNAS或CMA标识的第三方检测报告证明，要求报告中送检单位与生产单位为同一法人单位。</w:t>
                  </w:r>
                </w:p>
              </w:tc>
              <w:tc>
                <w:tcPr>
                  <w:tcW w:w="469" w:type="pct"/>
                  <w:vAlign w:val="center"/>
                </w:tcPr>
                <w:p w14:paraId="53D4CAB3">
                  <w:pPr>
                    <w:tabs>
                      <w:tab w:val="left" w:pos="6915"/>
                    </w:tabs>
                    <w:jc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ascii="宋体" w:hAnsi="宋体"/>
                      <w:bCs/>
                      <w:szCs w:val="21"/>
                    </w:rPr>
                    <w:t>1</w:t>
                  </w:r>
                  <w:r>
                    <w:rPr>
                      <w:rFonts w:hint="eastAsia" w:ascii="宋体" w:hAnsi="宋体"/>
                      <w:bCs/>
                      <w:szCs w:val="21"/>
                    </w:rPr>
                    <w:t>套</w:t>
                  </w:r>
                </w:p>
              </w:tc>
            </w:tr>
            <w:tr w14:paraId="3394427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9" w:hRule="atLeast"/>
              </w:trPr>
              <w:tc>
                <w:tcPr>
                  <w:tcW w:w="810" w:type="pct"/>
                </w:tcPr>
                <w:p w14:paraId="7D4B8CB4">
                  <w:pPr>
                    <w:tabs>
                      <w:tab w:val="left" w:pos="6915"/>
                    </w:tabs>
                    <w:jc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电池开关柜</w:t>
                  </w:r>
                </w:p>
              </w:tc>
              <w:tc>
                <w:tcPr>
                  <w:tcW w:w="3721" w:type="pct"/>
                </w:tcPr>
                <w:p w14:paraId="5661E181">
                  <w:r>
                    <w:rPr>
                      <w:rFonts w:hint="eastAsia"/>
                    </w:rPr>
                    <w:t>1、电池开关柜与UPS配套使用，与UPS同品牌；内置800A开关1只+400A开关3只。</w:t>
                  </w:r>
                </w:p>
                <w:p w14:paraId="0415057B">
                  <w:r>
                    <w:rPr>
                      <w:rFonts w:hint="eastAsia"/>
                    </w:rPr>
                    <w:t>2、电池总开关柜具有以下功能：</w:t>
                  </w:r>
                </w:p>
                <w:p w14:paraId="357FFD93">
                  <w:r>
                    <w:rPr>
                      <w:rFonts w:hint="eastAsia"/>
                    </w:rPr>
                    <w:t>①短路保护和放电终止保护。电池电压降到放电终止电压时，电池开关自动断开；</w:t>
                  </w:r>
                </w:p>
                <w:p w14:paraId="0A2FCB98">
                  <w:r>
                    <w:rPr>
                      <w:rFonts w:hint="eastAsia"/>
                    </w:rPr>
                    <w:t>②支持UPS的EPO功能。按下UPS触摸控制面板上的EPO开关时，电池开关自动断开；</w:t>
                  </w:r>
                </w:p>
                <w:p w14:paraId="66A23BDE">
                  <w:r>
                    <w:rPr>
                      <w:rFonts w:hint="eastAsia"/>
                    </w:rPr>
                    <w:t>③电池总开关应具有分励脱扣线圈，当出现故障需要断开电池开关时，UPS 控制电路向此线圈发出信号，使电池开关闸。同时，此电池开关还应有过载保护和短路保护的脱扣功能。</w:t>
                  </w:r>
                </w:p>
              </w:tc>
              <w:tc>
                <w:tcPr>
                  <w:tcW w:w="469" w:type="pct"/>
                </w:tcPr>
                <w:p w14:paraId="78DF8F95">
                  <w:pPr>
                    <w:tabs>
                      <w:tab w:val="left" w:pos="6915"/>
                    </w:tabs>
                    <w:jc w:val="center"/>
                    <w:rPr>
                      <w:rFonts w:hint="eastAsia" w:ascii="宋体" w:hAnsi="宋体"/>
                      <w:bCs/>
                      <w:szCs w:val="21"/>
                    </w:rPr>
                  </w:pPr>
                  <w:r>
                    <w:rPr>
                      <w:rFonts w:hint="eastAsia"/>
                    </w:rPr>
                    <w:t>1套</w:t>
                  </w:r>
                </w:p>
              </w:tc>
            </w:tr>
            <w:tr w14:paraId="789159D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9" w:hRule="atLeast"/>
              </w:trPr>
              <w:tc>
                <w:tcPr>
                  <w:tcW w:w="810" w:type="pct"/>
                </w:tcPr>
                <w:p w14:paraId="59C6821B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综合配电柜</w:t>
                  </w:r>
                </w:p>
              </w:tc>
              <w:tc>
                <w:tcPr>
                  <w:tcW w:w="3721" w:type="pct"/>
                </w:tcPr>
                <w:p w14:paraId="2F7A2C76">
                  <w:r>
                    <w:rPr>
                      <w:rFonts w:hint="eastAsia"/>
                    </w:rPr>
                    <w:t>1、配置不低于：输入：MCCB-250A/3P*2，输出：MCCB-250A/3P*2，防雷器*1，仪表*1；要求与UPS同品牌，且柜体内开关与配电柜同品牌，并与UPS尺寸颜色一致。</w:t>
                  </w:r>
                </w:p>
                <w:p w14:paraId="7D087EDC">
                  <w:r>
                    <w:rPr>
                      <w:rFonts w:hint="eastAsia"/>
                    </w:rPr>
                    <w:t>2、柜体母线应采用高导电率铜制导体。机架内一、二次连接铜排，铜排纯度达到99.97%以上。</w:t>
                  </w:r>
                </w:p>
                <w:p w14:paraId="49F7AF83">
                  <w:r>
                    <w:rPr>
                      <w:rFonts w:hint="eastAsia"/>
                    </w:rPr>
                    <w:t>3、交流输入电压的波动范围为其额定值的80%～120%。</w:t>
                  </w:r>
                </w:p>
                <w:p w14:paraId="3E151C84">
                  <w:r>
                    <w:rPr>
                      <w:rFonts w:hint="eastAsia"/>
                    </w:rPr>
                    <w:t>4、交流配电设备应具有防雷保护装置：户外低压电力线相连，应符合 YD/T 944-2007 中耐雷电流等级 H 型的规定；不与户外低压电力线相连，应符合 YD/T 944-2007 中耐雷电流等级 M型的规定；内部防雷地线应和保护接地端子就近连接。</w:t>
                  </w:r>
                </w:p>
                <w:p w14:paraId="4AF3CB52">
                  <w:r>
                    <w:rPr>
                      <w:rFonts w:hint="eastAsia"/>
                    </w:rPr>
                    <w:t>5、第3项至第4项指标要求，要求提供具备CNAS或CMA标识的第三方检测报告，并要求报告中送检单位与生产单位为同一法人单位。</w:t>
                  </w:r>
                </w:p>
              </w:tc>
              <w:tc>
                <w:tcPr>
                  <w:tcW w:w="469" w:type="pct"/>
                </w:tcPr>
                <w:p w14:paraId="05CBDAB1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1套</w:t>
                  </w:r>
                </w:p>
              </w:tc>
            </w:tr>
            <w:tr w14:paraId="0A5EEDF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9" w:hRule="atLeast"/>
              </w:trPr>
              <w:tc>
                <w:tcPr>
                  <w:tcW w:w="810" w:type="pct"/>
                </w:tcPr>
                <w:p w14:paraId="7B3181DF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列头柜</w:t>
                  </w:r>
                </w:p>
              </w:tc>
              <w:tc>
                <w:tcPr>
                  <w:tcW w:w="3721" w:type="pct"/>
                </w:tcPr>
                <w:p w14:paraId="35503B54">
                  <w:r>
                    <w:rPr>
                      <w:rFonts w:hint="eastAsia"/>
                    </w:rPr>
                    <w:t>1、配置不低于：输入：MCCB-250A/3P*2，输出：MCB-32A/3P*24，防雷器*1，仪表*1；要求与UPS同品牌，且柜体内开关与配电柜同品牌。</w:t>
                  </w:r>
                </w:p>
                <w:p w14:paraId="6200CDF8">
                  <w:r>
                    <w:rPr>
                      <w:rFonts w:hint="eastAsia"/>
                    </w:rPr>
                    <w:t>2、柜体母线应采用高导电率铜制导体。机架内一、二次连接铜排，铜排纯度达到99.97%以上。</w:t>
                  </w:r>
                </w:p>
                <w:p w14:paraId="53EA95BC">
                  <w:r>
                    <w:rPr>
                      <w:rFonts w:hint="eastAsia"/>
                    </w:rPr>
                    <w:t>3、交流输入电压的波动范围为其额定值的80%～120%。</w:t>
                  </w:r>
                </w:p>
                <w:p w14:paraId="697F23B0">
                  <w:r>
                    <w:rPr>
                      <w:rFonts w:hint="eastAsia"/>
                    </w:rPr>
                    <w:t>4、交流配电设备应具有防雷保护装置：户外低压电力线相连，应符合 YD/T 944-2007 中耐雷电流等级 H 型的规定；不与户外低压电力线相连，应符合 YD/T 944-2007 中耐雷电流等级 M型的规定；内部防雷地线应和保护接地端子就近连接。</w:t>
                  </w:r>
                </w:p>
                <w:p w14:paraId="4D890156">
                  <w:r>
                    <w:rPr>
                      <w:rFonts w:hint="eastAsia"/>
                    </w:rPr>
                    <w:t>5、第3项至第4项指标要求，要求提供具备CNAS或CMA标识的第三方检测报告，并要求报告中送检单位与生产单位为同一法人单位。</w:t>
                  </w:r>
                </w:p>
              </w:tc>
              <w:tc>
                <w:tcPr>
                  <w:tcW w:w="469" w:type="pct"/>
                </w:tcPr>
                <w:p w14:paraId="1C051763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1套</w:t>
                  </w:r>
                </w:p>
              </w:tc>
            </w:tr>
            <w:tr w14:paraId="07819EB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9" w:hRule="atLeast"/>
              </w:trPr>
              <w:tc>
                <w:tcPr>
                  <w:tcW w:w="810" w:type="pct"/>
                </w:tcPr>
                <w:p w14:paraId="76DBA44C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蓄电池</w:t>
                  </w:r>
                </w:p>
              </w:tc>
              <w:tc>
                <w:tcPr>
                  <w:tcW w:w="3721" w:type="pct"/>
                </w:tcPr>
                <w:p w14:paraId="633ADEB5">
                  <w:r>
                    <w:rPr>
                      <w:rFonts w:hint="eastAsia"/>
                    </w:rPr>
                    <w:t>1、容量不低于12V/250Ah；要求1.8V截止电压下，180分钟放电，电池功率不低于124.8W/格。</w:t>
                  </w:r>
                </w:p>
                <w:p w14:paraId="647EC38E">
                  <w:r>
                    <w:rPr>
                      <w:rFonts w:hint="eastAsia"/>
                    </w:rPr>
                    <w:t>2、实际负载100KW时，UPS备电时间大于等于180分钟，提供电池后备时间计算说明。</w:t>
                  </w:r>
                </w:p>
              </w:tc>
              <w:tc>
                <w:tcPr>
                  <w:tcW w:w="469" w:type="pct"/>
                </w:tcPr>
                <w:p w14:paraId="6E211DD0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144只</w:t>
                  </w:r>
                </w:p>
              </w:tc>
            </w:tr>
            <w:tr w14:paraId="3208B86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2" w:hRule="atLeast"/>
              </w:trPr>
              <w:tc>
                <w:tcPr>
                  <w:tcW w:w="810" w:type="pct"/>
                </w:tcPr>
                <w:p w14:paraId="12B37AFA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电池架</w:t>
                  </w:r>
                </w:p>
              </w:tc>
              <w:tc>
                <w:tcPr>
                  <w:tcW w:w="3721" w:type="pct"/>
                </w:tcPr>
                <w:p w14:paraId="0A8172C9">
                  <w:r>
                    <w:rPr>
                      <w:rFonts w:hint="eastAsia"/>
                    </w:rPr>
                    <w:t>单套W*D*H=1200*1200*2200（双列六层 ）</w:t>
                  </w:r>
                </w:p>
              </w:tc>
              <w:tc>
                <w:tcPr>
                  <w:tcW w:w="469" w:type="pct"/>
                </w:tcPr>
                <w:p w14:paraId="231D31B5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3套</w:t>
                  </w:r>
                </w:p>
              </w:tc>
            </w:tr>
            <w:tr w14:paraId="7BA6980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8" w:hRule="atLeast"/>
              </w:trPr>
              <w:tc>
                <w:tcPr>
                  <w:tcW w:w="810" w:type="pct"/>
                </w:tcPr>
                <w:p w14:paraId="13983F56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设备底座</w:t>
                  </w:r>
                </w:p>
              </w:tc>
              <w:tc>
                <w:tcPr>
                  <w:tcW w:w="3721" w:type="pct"/>
                </w:tcPr>
                <w:p w14:paraId="52C284E2">
                  <w:r>
                    <w:rPr>
                      <w:rFonts w:hint="eastAsia"/>
                    </w:rPr>
                    <w:t>8#槽钢</w:t>
                  </w:r>
                </w:p>
              </w:tc>
              <w:tc>
                <w:tcPr>
                  <w:tcW w:w="469" w:type="pct"/>
                </w:tcPr>
                <w:p w14:paraId="0B70A640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1项</w:t>
                  </w:r>
                </w:p>
              </w:tc>
            </w:tr>
            <w:tr w14:paraId="01286D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9" w:hRule="atLeast"/>
              </w:trPr>
              <w:tc>
                <w:tcPr>
                  <w:tcW w:w="810" w:type="pct"/>
                </w:tcPr>
                <w:p w14:paraId="41240A68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线缆及桥架</w:t>
                  </w:r>
                </w:p>
              </w:tc>
              <w:tc>
                <w:tcPr>
                  <w:tcW w:w="3721" w:type="pct"/>
                </w:tcPr>
                <w:p w14:paraId="1EB00FF9">
                  <w:r>
                    <w:rPr>
                      <w:rFonts w:hint="eastAsia"/>
                    </w:rPr>
                    <w:t>交流线缆，WDZA-YJY-4*150+1*70mm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，3</w:t>
                  </w:r>
                  <w:r>
                    <w:t>2</w:t>
                  </w:r>
                  <w:r>
                    <w:rPr>
                      <w:rFonts w:hint="eastAsia"/>
                    </w:rPr>
                    <w:t>0米</w:t>
                  </w:r>
                </w:p>
                <w:p w14:paraId="63619547">
                  <w:r>
                    <w:rPr>
                      <w:rFonts w:hint="eastAsia"/>
                    </w:rPr>
                    <w:t>直流线缆，ZARVV240mm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，55米</w:t>
                  </w:r>
                </w:p>
                <w:p w14:paraId="31A8AC1F">
                  <w:r>
                    <w:rPr>
                      <w:rFonts w:hint="eastAsia"/>
                    </w:rPr>
                    <w:t>直流桥架，200*100*1.2mm，15米</w:t>
                  </w:r>
                </w:p>
                <w:p w14:paraId="2EDFE73F">
                  <w:r>
                    <w:rPr>
                      <w:rFonts w:hint="eastAsia"/>
                    </w:rPr>
                    <w:t>PDU线缆，ZARVV-5*6mm</w:t>
                  </w:r>
                  <w:r>
                    <w:rPr>
                      <w:rFonts w:hint="eastAsia"/>
                      <w:vertAlign w:val="superscript"/>
                    </w:rPr>
                    <w:t>2</w:t>
                  </w:r>
                  <w:r>
                    <w:rPr>
                      <w:rFonts w:hint="eastAsia"/>
                    </w:rPr>
                    <w:t>，75米</w:t>
                  </w:r>
                </w:p>
                <w:p w14:paraId="5EB72863">
                  <w:r>
                    <w:rPr>
                      <w:rFonts w:hint="eastAsia"/>
                    </w:rPr>
                    <w:t>PDU桥架，200*100*1.2mm，20米</w:t>
                  </w:r>
                </w:p>
              </w:tc>
              <w:tc>
                <w:tcPr>
                  <w:tcW w:w="469" w:type="pct"/>
                </w:tcPr>
                <w:p w14:paraId="33954943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1批</w:t>
                  </w:r>
                </w:p>
              </w:tc>
            </w:tr>
            <w:tr w14:paraId="564C081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6" w:hRule="atLeast"/>
              </w:trPr>
              <w:tc>
                <w:tcPr>
                  <w:tcW w:w="810" w:type="pct"/>
                </w:tcPr>
                <w:p w14:paraId="06F8D425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辅材</w:t>
                  </w:r>
                </w:p>
              </w:tc>
              <w:tc>
                <w:tcPr>
                  <w:tcW w:w="3721" w:type="pct"/>
                </w:tcPr>
                <w:p w14:paraId="12EF41DF">
                  <w:r>
                    <w:rPr>
                      <w:rFonts w:hint="eastAsia"/>
                    </w:rPr>
                    <w:t>铜鼻，扎带，热缩管，连接铜牌等</w:t>
                  </w:r>
                </w:p>
              </w:tc>
              <w:tc>
                <w:tcPr>
                  <w:tcW w:w="469" w:type="pct"/>
                </w:tcPr>
                <w:p w14:paraId="7FBED05A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1批</w:t>
                  </w:r>
                </w:p>
              </w:tc>
            </w:tr>
            <w:tr w14:paraId="66C795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9" w:hRule="atLeast"/>
              </w:trPr>
              <w:tc>
                <w:tcPr>
                  <w:tcW w:w="810" w:type="pct"/>
                </w:tcPr>
                <w:p w14:paraId="3DDE3DAE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其他</w:t>
                  </w:r>
                </w:p>
              </w:tc>
              <w:tc>
                <w:tcPr>
                  <w:tcW w:w="3721" w:type="pct"/>
                </w:tcPr>
                <w:p w14:paraId="11F11D52">
                  <w:r>
                    <w:rPr>
                      <w:rFonts w:hint="eastAsia"/>
                    </w:rPr>
                    <w:t>包含设备二次搬运，界面内线缆铺设、设备安装等系统交付；其他不尽之处须包含。</w:t>
                  </w:r>
                </w:p>
              </w:tc>
              <w:tc>
                <w:tcPr>
                  <w:tcW w:w="469" w:type="pct"/>
                </w:tcPr>
                <w:p w14:paraId="69FE95D9">
                  <w:pPr>
                    <w:tabs>
                      <w:tab w:val="left" w:pos="6915"/>
                    </w:tabs>
                    <w:jc w:val="center"/>
                  </w:pPr>
                  <w:r>
                    <w:rPr>
                      <w:rFonts w:hint="eastAsia"/>
                    </w:rPr>
                    <w:t>1项</w:t>
                  </w:r>
                </w:p>
              </w:tc>
            </w:tr>
          </w:tbl>
          <w:p w14:paraId="395E48F2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bCs/>
                <w:sz w:val="24"/>
              </w:rPr>
            </w:pPr>
          </w:p>
        </w:tc>
        <w:tc>
          <w:tcPr>
            <w:tcW w:w="1464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2" w:hRule="atLeast"/>
        </w:trPr>
        <w:tc>
          <w:tcPr>
            <w:tcW w:w="72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88C63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供应商需满足的要求：</w:t>
            </w:r>
          </w:p>
          <w:p w14:paraId="19EE85AA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具备质量管理体系认证，并提供加盖公章的证书复印件。</w:t>
            </w:r>
          </w:p>
          <w:p w14:paraId="6E8A7A1C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具备UPS主机、</w:t>
            </w:r>
            <w:r>
              <w:rPr>
                <w:rFonts w:hint="eastAsia"/>
              </w:rPr>
              <w:t>综合</w:t>
            </w:r>
            <w:r>
              <w:rPr>
                <w:rFonts w:hint="eastAsia" w:ascii="宋体" w:hAnsi="宋体"/>
                <w:bCs/>
                <w:szCs w:val="21"/>
              </w:rPr>
              <w:t>配电柜、列头柜的代理商证书或原厂授权函，并提供加盖公章的证书复印件。</w:t>
            </w:r>
          </w:p>
          <w:p w14:paraId="517B7C95">
            <w:pPr>
              <w:pStyle w:val="11"/>
              <w:numPr>
                <w:ilvl w:val="0"/>
                <w:numId w:val="1"/>
              </w:numPr>
              <w:tabs>
                <w:tab w:val="left" w:pos="6915"/>
                <w:tab w:val="clear" w:pos="1428"/>
              </w:tabs>
              <w:ind w:firstLineChars="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安排的现场实施作业人员需具有特种作业操作证（低压电工），并提供加盖公章的证书复印件。</w:t>
            </w:r>
          </w:p>
          <w:p w14:paraId="09673613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合同生效之日起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个月内将所有货物送达指定地点，并根据采购人要求，在规定的时间、地点进行线缆铺设、设备安装等。</w:t>
            </w:r>
          </w:p>
          <w:p w14:paraId="5792377D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合同生效之日起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hint="eastAsia" w:ascii="宋体" w:hAnsi="宋体"/>
                <w:bCs/>
                <w:szCs w:val="21"/>
              </w:rPr>
              <w:t>个月内将所有货物送达指定地点，并根据采购人要求，在规定的时间、地点进行线缆铺设、设备安装等。</w:t>
            </w:r>
          </w:p>
          <w:p w14:paraId="1F67A648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</w:p>
          <w:p w14:paraId="6662D2E6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合同签订后，支付合同总价的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hint="eastAsia" w:ascii="宋体" w:hAnsi="宋体"/>
                <w:bCs/>
                <w:szCs w:val="21"/>
              </w:rPr>
              <w:t xml:space="preserve">0%的预付款； </w:t>
            </w:r>
          </w:p>
          <w:p w14:paraId="7841AAFA">
            <w:pPr>
              <w:tabs>
                <w:tab w:val="left" w:pos="6915"/>
              </w:tabs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全部货物货到现场并完成安装调试后，支付合同尾款；</w:t>
            </w:r>
          </w:p>
          <w:p w14:paraId="0A492878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注：最后一次付款前，供应商须向采购人提供100%合同价款的增值税专用发票。</w:t>
            </w:r>
          </w:p>
          <w:p w14:paraId="33A22995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验收指标及验收要求：</w:t>
            </w:r>
            <w:r>
              <w:rPr>
                <w:rFonts w:hint="eastAsia" w:ascii="宋体" w:hAnsi="宋体"/>
                <w:bCs/>
                <w:szCs w:val="21"/>
              </w:rPr>
              <w:t>（1）出厂合格证；（2）系统图纸；（3）UPS、市电配电柜、列头柜的第三方检测报告（具备CMA</w:t>
            </w:r>
            <w:r>
              <w:rPr>
                <w:rFonts w:hint="eastAsia"/>
              </w:rPr>
              <w:t>或</w:t>
            </w:r>
            <w:r>
              <w:rPr>
                <w:rFonts w:hint="eastAsia" w:ascii="宋体" w:hAnsi="宋体"/>
                <w:bCs/>
                <w:szCs w:val="21"/>
              </w:rPr>
              <w:t>CNAS标识）和用户手册；</w:t>
            </w:r>
          </w:p>
          <w:p w14:paraId="6F22167D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验收期间，若货物的型号、数量不符合要求或存在质量问题，供应商应在接到通知之日起3日内更换合格产品重新交付至指定地点，并承担因此而发生的相关费用。</w:t>
            </w:r>
          </w:p>
          <w:p w14:paraId="09C59FB1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阶段</w:t>
            </w:r>
            <w:r>
              <w:rPr>
                <w:rFonts w:ascii="宋体" w:hAnsi="宋体"/>
                <w:b/>
                <w:szCs w:val="21"/>
              </w:rPr>
              <w:t>性检查要求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货物为全新合格正品，资料齐全、包装完整。</w:t>
            </w:r>
          </w:p>
          <w:p w14:paraId="7D8BFA86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Cs w:val="21"/>
              </w:rPr>
              <w:t>：</w:t>
            </w:r>
            <w:r>
              <w:rPr>
                <w:rFonts w:hint="eastAsia" w:ascii="宋体" w:hAnsi="宋体"/>
                <w:bCs/>
                <w:szCs w:val="21"/>
              </w:rPr>
              <w:t>质保期不少于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hint="eastAsia" w:ascii="宋体" w:hAnsi="宋体"/>
                <w:bCs/>
                <w:szCs w:val="21"/>
              </w:rPr>
              <w:t>个月，起始日期以收到货物并通过验收之日开始计算。</w:t>
            </w:r>
          </w:p>
          <w:p w14:paraId="7E16F3D7">
            <w:pPr>
              <w:tabs>
                <w:tab w:val="left" w:pos="6915"/>
              </w:tabs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质保期内，供应商负责免费更换和维修零部件。供应商应于接到采购人通知后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hint="eastAsia" w:ascii="宋体" w:hAnsi="宋体"/>
                <w:bCs/>
                <w:szCs w:val="21"/>
              </w:rPr>
              <w:t>小时内（法定假期除外）进行响应；需要抵达现场进行维修的，供应商应在</w:t>
            </w:r>
            <w:r>
              <w:rPr>
                <w:rFonts w:ascii="宋体" w:hAnsi="宋体"/>
                <w:bCs/>
                <w:szCs w:val="21"/>
              </w:rPr>
              <w:t>24</w:t>
            </w:r>
            <w:r>
              <w:rPr>
                <w:rFonts w:hint="eastAsia" w:ascii="宋体" w:hAnsi="宋体"/>
                <w:bCs/>
                <w:szCs w:val="21"/>
              </w:rPr>
              <w:t>小时内抵达现场，并在合理的时间内完成维修。</w:t>
            </w:r>
          </w:p>
          <w:p w14:paraId="191923E4">
            <w:pPr>
              <w:pStyle w:val="11"/>
              <w:tabs>
                <w:tab w:val="left" w:pos="6915"/>
                <w:tab w:val="clear" w:pos="1428"/>
              </w:tabs>
              <w:ind w:firstLine="0" w:firstLineChars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其它：</w:t>
            </w:r>
            <w:r>
              <w:rPr>
                <w:rFonts w:hint="eastAsia" w:ascii="宋体" w:hAnsi="宋体"/>
                <w:bCs/>
                <w:szCs w:val="21"/>
              </w:rPr>
              <w:t>其余未尽事项由采购人和成交供应商在签订合同时商定补充。</w:t>
            </w:r>
          </w:p>
        </w:tc>
        <w:tc>
          <w:tcPr>
            <w:tcW w:w="1464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23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806CFC"/>
    <w:multiLevelType w:val="multilevel"/>
    <w:tmpl w:val="5F806CFC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80627"/>
    <w:rsid w:val="001B219D"/>
    <w:rsid w:val="001D3367"/>
    <w:rsid w:val="002026B2"/>
    <w:rsid w:val="002212AC"/>
    <w:rsid w:val="00261EE1"/>
    <w:rsid w:val="00267E42"/>
    <w:rsid w:val="002D1729"/>
    <w:rsid w:val="002D3BC4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03E9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636EA"/>
    <w:rsid w:val="00D72E1E"/>
    <w:rsid w:val="00D81354"/>
    <w:rsid w:val="00DA1367"/>
    <w:rsid w:val="00DA7BF9"/>
    <w:rsid w:val="00E00131"/>
    <w:rsid w:val="00E0215E"/>
    <w:rsid w:val="00E147A9"/>
    <w:rsid w:val="00E5012E"/>
    <w:rsid w:val="00E762FD"/>
    <w:rsid w:val="00E930C8"/>
    <w:rsid w:val="00EA412A"/>
    <w:rsid w:val="00EA6BA9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27907490"/>
    <w:rsid w:val="2D070EC5"/>
    <w:rsid w:val="46BF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2508</Words>
  <Characters>2954</Characters>
  <Lines>22</Lines>
  <Paragraphs>6</Paragraphs>
  <TotalTime>3</TotalTime>
  <ScaleCrop>false</ScaleCrop>
  <LinksUpToDate>false</LinksUpToDate>
  <CharactersWithSpaces>3007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Administrator</cp:lastModifiedBy>
  <dcterms:modified xsi:type="dcterms:W3CDTF">2025-12-09T10:10:50Z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eyJoZGlkIjoiN2RlYWI4ZWUzNTBhNTYxZTE1ZDI0ZDliNjg4YTQ3ZjIifQ==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