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高能电子衍射仪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FF22473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2"/>
                <w:szCs w:val="21"/>
              </w:rPr>
            </w:pPr>
            <w:r>
              <w:rPr>
                <w:rFonts w:hint="eastAsia" w:ascii="宋体" w:hAnsi="宋体" w:cs="宋体"/>
                <w:bCs/>
                <w:sz w:val="22"/>
                <w:szCs w:val="21"/>
              </w:rPr>
              <w:t>本次询价主要为ARPES线站MBE系统采购一套高分辨率的 RHEED（反射高能电子衍射）系统。主要参数要求为：</w:t>
            </w:r>
          </w:p>
          <w:p w14:paraId="21BDFF20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2"/>
                <w:szCs w:val="21"/>
              </w:rPr>
            </w:pPr>
            <w:r>
              <w:rPr>
                <w:rFonts w:hint="eastAsia" w:ascii="宋体" w:hAnsi="宋体" w:cs="宋体"/>
                <w:bCs/>
                <w:sz w:val="22"/>
                <w:szCs w:val="21"/>
              </w:rPr>
              <w:t>电子枪主体 (Electron Gun)</w:t>
            </w:r>
          </w:p>
          <w:p w14:paraId="4BBE2EF4">
            <w:pPr>
              <w:tabs>
                <w:tab w:val="left" w:pos="6915"/>
              </w:tabs>
              <w:ind w:firstLine="440" w:firstLineChars="200"/>
              <w:jc w:val="left"/>
              <w:rPr>
                <w:rFonts w:ascii="宋体" w:hAnsi="宋体" w:cs="宋体"/>
                <w:bCs/>
                <w:sz w:val="22"/>
                <w:szCs w:val="21"/>
              </w:rPr>
            </w:pPr>
            <w:r>
              <w:rPr>
                <w:rFonts w:hint="eastAsia" w:ascii="宋体" w:hAnsi="宋体" w:cs="宋体"/>
                <w:bCs/>
                <w:sz w:val="22"/>
                <w:szCs w:val="21"/>
              </w:rPr>
              <w:t>能量范围： 500 eV 至 15 keV 连续可调。</w:t>
            </w:r>
          </w:p>
          <w:p w14:paraId="06728533">
            <w:pPr>
              <w:tabs>
                <w:tab w:val="left" w:pos="6915"/>
              </w:tabs>
              <w:ind w:firstLine="440" w:firstLineChars="200"/>
              <w:jc w:val="left"/>
              <w:rPr>
                <w:rFonts w:ascii="宋体" w:hAnsi="宋体" w:cs="宋体"/>
                <w:bCs/>
                <w:sz w:val="22"/>
                <w:szCs w:val="21"/>
              </w:rPr>
            </w:pPr>
            <w:r>
              <w:rPr>
                <w:rFonts w:hint="eastAsia" w:ascii="宋体" w:hAnsi="宋体" w:cs="宋体"/>
                <w:bCs/>
                <w:sz w:val="22"/>
                <w:szCs w:val="21"/>
              </w:rPr>
              <w:t xml:space="preserve">束斑尺寸： 在最大能量、小束流及工作距离约 150 mm 条件下，束斑直径 </w:t>
            </w:r>
            <m:oMath>
              <m:r>
                <m:rPr>
                  <m:sty m:val="p"/>
                </m:rPr>
                <w:rPr>
                  <w:rFonts w:ascii="Cambria Math" w:hAnsi="Cambria Math" w:cs="宋体"/>
                  <w:sz w:val="22"/>
                  <w:szCs w:val="21"/>
                </w:rPr>
                <m:t>≤</m:t>
              </m:r>
            </m:oMath>
            <w:r>
              <w:rPr>
                <w:rFonts w:ascii="宋体" w:hAnsi="宋体" w:cs="宋体"/>
                <w:bCs/>
                <w:sz w:val="22"/>
                <w:szCs w:val="21"/>
              </w:rPr>
              <w:t>100</w:t>
            </w:r>
            <m:oMath>
              <m:r>
                <m:rPr>
                  <m:sty m:val="p"/>
                </m:rPr>
                <w:rPr>
                  <w:rFonts w:ascii="Cambria Math" w:hAnsi="Cambria Math" w:cs="宋体"/>
                  <w:sz w:val="22"/>
                  <w:szCs w:val="21"/>
                </w:rPr>
                <m:t>μ</m:t>
              </m:r>
              <m:r>
                <m:rPr>
                  <m:sty m:val="p"/>
                </m:rPr>
                <w:rPr>
                  <w:rFonts w:hint="eastAsia" w:ascii="Cambria Math" w:hAnsi="Cambria Math" w:cs="宋体"/>
                  <w:sz w:val="22"/>
                  <w:szCs w:val="21"/>
                </w:rPr>
                <m:t>m</m:t>
              </m:r>
            </m:oMath>
            <w:r>
              <w:rPr>
                <w:rFonts w:hint="eastAsia" w:ascii="宋体" w:hAnsi="宋体" w:cs="宋体"/>
                <w:bCs/>
                <w:sz w:val="22"/>
                <w:szCs w:val="21"/>
              </w:rPr>
              <w:t xml:space="preserve">。安装法兰： 标准 DN40CF。烘烤温度： 超高真空（UHV）兼容，整体可承受最高 200 </w:t>
            </w:r>
            <m:oMath>
              <m:r>
                <m:rPr>
                  <m:sty m:val="p"/>
                </m:rPr>
                <w:rPr>
                  <w:rFonts w:ascii="Cambria Math" w:hAnsi="Cambria Math" w:cs="宋体"/>
                  <w:sz w:val="22"/>
                  <w:szCs w:val="21"/>
                </w:rPr>
                <m:t>℃</m:t>
              </m:r>
            </m:oMath>
            <w:r>
              <w:rPr>
                <w:rFonts w:hint="eastAsia" w:ascii="宋体" w:hAnsi="宋体" w:cs="宋体"/>
                <w:bCs/>
                <w:sz w:val="22"/>
                <w:szCs w:val="21"/>
              </w:rPr>
              <w:t>的烘烤。</w:t>
            </w:r>
          </w:p>
          <w:p w14:paraId="176D41E5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2"/>
                <w:szCs w:val="21"/>
              </w:rPr>
            </w:pPr>
            <w:r>
              <w:rPr>
                <w:rFonts w:hint="eastAsia" w:ascii="宋体" w:hAnsi="宋体" w:cs="宋体"/>
                <w:bCs/>
                <w:sz w:val="22"/>
                <w:szCs w:val="21"/>
              </w:rPr>
              <w:t>电子束摆动功能 (Beam Rocking)： 必须包含此配置。 要求能够通过电磁/静电光学系统，在不移动机械结构的前提下，实现电子束入射角的精确电子控制（摆动），以方便进行摇摆曲线（Rocking Curve）测量及复杂表面结构的动态分析。</w:t>
            </w:r>
          </w:p>
          <w:p w14:paraId="17FAA411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2"/>
                <w:szCs w:val="21"/>
              </w:rPr>
            </w:pPr>
            <w:r>
              <w:rPr>
                <w:rFonts w:hint="eastAsia" w:ascii="宋体" w:hAnsi="宋体" w:cs="宋体"/>
                <w:bCs/>
                <w:sz w:val="22"/>
                <w:szCs w:val="21"/>
              </w:rPr>
              <w:t>差分抽气系统 (Differential Pumping)差分配置： 必须至少包含一级差分抽气（1-stage DP）接口。</w:t>
            </w:r>
          </w:p>
          <w:p w14:paraId="76ED64DD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2"/>
                <w:szCs w:val="21"/>
              </w:rPr>
            </w:pPr>
            <w:r>
              <w:rPr>
                <w:rFonts w:hint="eastAsia" w:ascii="宋体" w:hAnsi="宋体" w:cs="宋体"/>
                <w:bCs/>
                <w:sz w:val="22"/>
                <w:szCs w:val="21"/>
              </w:rPr>
              <w:t>控制器与电源 (Controller &amp; Power Supply)</w:t>
            </w:r>
          </w:p>
          <w:p w14:paraId="241BAC3E">
            <w:pPr>
              <w:pStyle w:val="11"/>
              <w:tabs>
                <w:tab w:val="left" w:pos="6915"/>
                <w:tab w:val="clear" w:pos="1428"/>
              </w:tabs>
              <w:ind w:left="360" w:firstLine="0" w:firstLineChars="0"/>
              <w:jc w:val="left"/>
              <w:rPr>
                <w:rFonts w:ascii="宋体" w:hAnsi="宋体" w:cs="宋体"/>
                <w:bCs/>
                <w:sz w:val="22"/>
                <w:szCs w:val="21"/>
              </w:rPr>
            </w:pPr>
            <w:r>
              <w:rPr>
                <w:rFonts w:hint="eastAsia" w:ascii="宋体" w:hAnsi="宋体" w:cs="宋体"/>
                <w:bCs/>
                <w:sz w:val="22"/>
                <w:szCs w:val="21"/>
              </w:rPr>
              <w:t>电源控制单元： 19英寸标准机架式控制器，具备高精度数字化显示（电压、灯丝电流、发射电流、聚焦电压等）。远程手动控制： 配备手持式远程控制盒（Remote Control Box），便于在真空腔体旁实时调节束流和聚焦。电脑控制模块：包含 PC 连接接口。</w:t>
            </w:r>
          </w:p>
          <w:p w14:paraId="1ED83320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2"/>
                <w:szCs w:val="21"/>
              </w:rPr>
            </w:pPr>
            <w:r>
              <w:rPr>
                <w:rFonts w:hint="eastAsia" w:ascii="宋体" w:hAnsi="宋体" w:cs="宋体"/>
                <w:bCs/>
                <w:sz w:val="22"/>
                <w:szCs w:val="21"/>
              </w:rPr>
              <w:t>附件及配件 (Accessories)</w:t>
            </w:r>
          </w:p>
          <w:p w14:paraId="672E1DA0">
            <w:pPr>
              <w:pStyle w:val="11"/>
              <w:tabs>
                <w:tab w:val="left" w:pos="6915"/>
                <w:tab w:val="clear" w:pos="1428"/>
              </w:tabs>
              <w:ind w:left="360" w:firstLine="0" w:firstLineChars="0"/>
              <w:jc w:val="left"/>
              <w:rPr>
                <w:rFonts w:ascii="宋体" w:hAnsi="宋体" w:cs="宋体"/>
                <w:bCs/>
                <w:sz w:val="22"/>
                <w:szCs w:val="21"/>
              </w:rPr>
            </w:pPr>
            <w:r>
              <w:rPr>
                <w:rFonts w:hint="eastAsia" w:ascii="宋体" w:hAnsi="宋体" w:cs="宋体"/>
                <w:bCs/>
                <w:sz w:val="22"/>
                <w:szCs w:val="21"/>
              </w:rPr>
              <w:t xml:space="preserve">备用灯丝（阴极）： 需额外提供 </w:t>
            </w:r>
            <w:r>
              <w:rPr>
                <w:rFonts w:ascii="宋体" w:hAnsi="宋体" w:cs="宋体"/>
                <w:bCs/>
                <w:sz w:val="22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sz w:val="22"/>
                <w:szCs w:val="21"/>
              </w:rPr>
              <w:t xml:space="preserve"> 个预装、预对准的备用灯丝/阴极组件（Cathode Cartridges）。</w:t>
            </w:r>
          </w:p>
          <w:p w14:paraId="65012D89">
            <w:pPr>
              <w:pStyle w:val="11"/>
              <w:tabs>
                <w:tab w:val="left" w:pos="6915"/>
                <w:tab w:val="clear" w:pos="1428"/>
              </w:tabs>
              <w:ind w:left="360" w:firstLine="0" w:firstLineChars="0"/>
              <w:jc w:val="left"/>
              <w:rPr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2"/>
                <w:szCs w:val="21"/>
              </w:rPr>
              <w:t>荧光屏 (Fluorescent Screen)： 提供标准 RHEED 荧光屏，法兰尺寸为 DN100CF。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99550">
            <w:pPr>
              <w:tabs>
                <w:tab w:val="left" w:pos="6915"/>
              </w:tabs>
              <w:jc w:val="left"/>
              <w:rPr>
                <w:rFonts w:hint="eastAsia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1</w:t>
            </w:r>
            <w:r>
              <w:rPr>
                <w:rFonts w:ascii="宋体" w:hAnsi="宋体"/>
                <w:b w:val="0"/>
                <w:bCs/>
                <w:szCs w:val="21"/>
              </w:rPr>
              <w:t>2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个月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内</w:t>
            </w:r>
          </w:p>
          <w:p w14:paraId="063DF81A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1263B4E5">
            <w:pPr>
              <w:tabs>
                <w:tab w:val="left" w:pos="6915"/>
              </w:tabs>
              <w:jc w:val="left"/>
              <w:rPr>
                <w:rFonts w:hint="eastAsia" w:ascii="宋体" w:hAnsi="宋体" w:eastAsiaTheme="minorEastAsia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付款方式一：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合同签订后预付3</w:t>
            </w:r>
            <w:r>
              <w:rPr>
                <w:rFonts w:ascii="宋体" w:hAnsi="宋体"/>
                <w:b w:val="0"/>
                <w:bCs/>
                <w:szCs w:val="21"/>
              </w:rPr>
              <w:t>0%;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收到货后预付6</w:t>
            </w:r>
            <w:r>
              <w:rPr>
                <w:rFonts w:ascii="宋体" w:hAnsi="宋体"/>
                <w:b w:val="0"/>
                <w:bCs/>
                <w:szCs w:val="21"/>
              </w:rPr>
              <w:t>0%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，验收合格后支付1</w:t>
            </w:r>
            <w:r>
              <w:rPr>
                <w:rFonts w:ascii="宋体" w:hAnsi="宋体"/>
                <w:b w:val="0"/>
                <w:bCs/>
                <w:szCs w:val="21"/>
              </w:rPr>
              <w:t>0%</w:t>
            </w:r>
            <w:r>
              <w:rPr>
                <w:rFonts w:hint="eastAsia" w:ascii="宋体" w:hAnsi="宋体"/>
                <w:b w:val="0"/>
                <w:bCs/>
                <w:szCs w:val="21"/>
                <w:lang w:eastAsia="zh-CN"/>
              </w:rPr>
              <w:t>；</w:t>
            </w:r>
          </w:p>
          <w:p w14:paraId="1A50809D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付款方式二：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卖方在出运货物后，凭信用证规定的装运单据（如提单、发票、装箱单等）向开证行议付，金额为合同总价的90%。在货物到达买方工厂并经双方共同验收合格后，卖方凭买方授权代表签署的《验收合格报告》（Acceptance Certificate）及相关单据，向银行议付合同总价的10%尾款。</w:t>
            </w:r>
          </w:p>
          <w:p w14:paraId="6C74CE62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提供出厂测试报告</w:t>
            </w:r>
          </w:p>
          <w:p w14:paraId="2751F177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标准质保期大于等于1</w:t>
            </w:r>
            <w:r>
              <w:rPr>
                <w:rFonts w:ascii="宋体" w:hAnsi="宋体"/>
                <w:b w:val="0"/>
                <w:bCs/>
                <w:szCs w:val="21"/>
              </w:rPr>
              <w:t>2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个月</w:t>
            </w: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7B29FC"/>
    <w:multiLevelType w:val="multilevel"/>
    <w:tmpl w:val="467B29F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C0616FC"/>
    <w:rsid w:val="0EB47357"/>
    <w:rsid w:val="24FF7627"/>
    <w:rsid w:val="251E174D"/>
    <w:rsid w:val="2D070EC5"/>
    <w:rsid w:val="40512489"/>
    <w:rsid w:val="468B21C7"/>
    <w:rsid w:val="46BF17AE"/>
    <w:rsid w:val="47494CC3"/>
    <w:rsid w:val="48EB0E6F"/>
    <w:rsid w:val="521F7D99"/>
    <w:rsid w:val="58533025"/>
    <w:rsid w:val="5DC766F2"/>
    <w:rsid w:val="64331764"/>
    <w:rsid w:val="6DA20D7D"/>
    <w:rsid w:val="6E8036D7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724</Words>
  <Characters>810</Characters>
  <Lines>11</Lines>
  <Paragraphs>3</Paragraphs>
  <TotalTime>0</TotalTime>
  <ScaleCrop>false</ScaleCrop>
  <LinksUpToDate>false</LinksUpToDate>
  <CharactersWithSpaces>839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2026-05-26T08:02:28Z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