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9955E">
      <w:pPr>
        <w:jc w:val="center"/>
        <w:rPr>
          <w:sz w:val="36"/>
        </w:rPr>
      </w:pPr>
      <w:r>
        <w:rPr>
          <w:sz w:val="36"/>
        </w:rPr>
        <w:t>中国科学技术大学国家同步辐射实验室</w:t>
      </w:r>
    </w:p>
    <w:p w14:paraId="0973E65B">
      <w:pPr>
        <w:jc w:val="center"/>
        <w:rPr>
          <w:sz w:val="36"/>
        </w:rPr>
      </w:pPr>
      <w:r>
        <w:rPr>
          <w:rFonts w:hint="eastAsia"/>
          <w:sz w:val="36"/>
        </w:rPr>
        <w:t>技术指标供应商确认表</w:t>
      </w:r>
    </w:p>
    <w:p w14:paraId="3E58F52B"/>
    <w:tbl>
      <w:tblPr>
        <w:tblStyle w:val="6"/>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422"/>
        <w:gridCol w:w="5244"/>
        <w:gridCol w:w="1418"/>
        <w:gridCol w:w="992"/>
      </w:tblGrid>
      <w:tr w14:paraId="3979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76" w:hRule="atLeast"/>
        </w:trPr>
        <w:tc>
          <w:tcPr>
            <w:tcW w:w="705" w:type="dxa"/>
            <w:vAlign w:val="center"/>
          </w:tcPr>
          <w:p w14:paraId="75C250BA">
            <w:pPr>
              <w:spacing w:line="240" w:lineRule="atLeast"/>
              <w:jc w:val="center"/>
              <w:rPr>
                <w:sz w:val="22"/>
              </w:rPr>
            </w:pPr>
            <w:r>
              <w:rPr>
                <w:rFonts w:hint="eastAsia"/>
                <w:sz w:val="22"/>
              </w:rPr>
              <w:t>序号</w:t>
            </w:r>
          </w:p>
        </w:tc>
        <w:tc>
          <w:tcPr>
            <w:tcW w:w="1422" w:type="dxa"/>
            <w:vAlign w:val="center"/>
          </w:tcPr>
          <w:p w14:paraId="3A9FF52B">
            <w:pPr>
              <w:spacing w:line="240" w:lineRule="atLeast"/>
              <w:jc w:val="center"/>
              <w:rPr>
                <w:sz w:val="22"/>
              </w:rPr>
            </w:pPr>
            <w:r>
              <w:rPr>
                <w:rFonts w:hint="eastAsia"/>
                <w:sz w:val="22"/>
              </w:rPr>
              <w:t>名称</w:t>
            </w:r>
          </w:p>
        </w:tc>
        <w:tc>
          <w:tcPr>
            <w:tcW w:w="5244" w:type="dxa"/>
            <w:vAlign w:val="center"/>
          </w:tcPr>
          <w:p w14:paraId="258D475E">
            <w:pPr>
              <w:spacing w:line="240" w:lineRule="atLeast"/>
              <w:jc w:val="center"/>
              <w:rPr>
                <w:sz w:val="22"/>
              </w:rPr>
            </w:pPr>
            <w:r>
              <w:rPr>
                <w:rFonts w:hint="eastAsia"/>
                <w:sz w:val="22"/>
              </w:rPr>
              <w:t>技术指标</w:t>
            </w:r>
          </w:p>
        </w:tc>
        <w:tc>
          <w:tcPr>
            <w:tcW w:w="1418" w:type="dxa"/>
            <w:vAlign w:val="center"/>
          </w:tcPr>
          <w:p w14:paraId="37F7A556">
            <w:pPr>
              <w:spacing w:line="240" w:lineRule="atLeast"/>
              <w:jc w:val="center"/>
              <w:rPr>
                <w:szCs w:val="21"/>
              </w:rPr>
            </w:pPr>
            <w:r>
              <w:rPr>
                <w:rFonts w:hint="eastAsia"/>
                <w:szCs w:val="21"/>
              </w:rPr>
              <w:t>偏离说明</w:t>
            </w:r>
          </w:p>
          <w:p w14:paraId="328E92F5">
            <w:pPr>
              <w:spacing w:line="240" w:lineRule="atLeast"/>
              <w:jc w:val="center"/>
              <w:rPr>
                <w:sz w:val="24"/>
              </w:rPr>
            </w:pPr>
            <w:r>
              <w:rPr>
                <w:rFonts w:hint="eastAsia"/>
                <w:szCs w:val="21"/>
              </w:rPr>
              <w:t>(</w:t>
            </w:r>
            <w:r>
              <w:rPr>
                <w:szCs w:val="21"/>
              </w:rPr>
              <w:t>无偏离</w:t>
            </w:r>
            <w:r>
              <w:rPr>
                <w:rFonts w:hint="eastAsia"/>
                <w:szCs w:val="21"/>
              </w:rPr>
              <w:t>/</w:t>
            </w:r>
            <w:r>
              <w:rPr>
                <w:szCs w:val="21"/>
              </w:rPr>
              <w:t>正偏离</w:t>
            </w:r>
            <w:r>
              <w:rPr>
                <w:rFonts w:hint="eastAsia"/>
                <w:szCs w:val="21"/>
              </w:rPr>
              <w:t>/</w:t>
            </w:r>
            <w:r>
              <w:rPr>
                <w:szCs w:val="21"/>
              </w:rPr>
              <w:t>负偏离</w:t>
            </w:r>
            <w:r>
              <w:rPr>
                <w:rFonts w:hint="eastAsia"/>
                <w:szCs w:val="21"/>
              </w:rPr>
              <w:t>)</w:t>
            </w:r>
          </w:p>
        </w:tc>
        <w:tc>
          <w:tcPr>
            <w:tcW w:w="992" w:type="dxa"/>
            <w:vAlign w:val="center"/>
          </w:tcPr>
          <w:p w14:paraId="22A89C1E">
            <w:pPr>
              <w:spacing w:line="240" w:lineRule="atLeast"/>
              <w:jc w:val="center"/>
              <w:rPr>
                <w:sz w:val="24"/>
              </w:rPr>
            </w:pPr>
            <w:r>
              <w:rPr>
                <w:rFonts w:hint="eastAsia"/>
                <w:sz w:val="22"/>
              </w:rPr>
              <w:t>偏离值</w:t>
            </w:r>
          </w:p>
        </w:tc>
      </w:tr>
      <w:tr w14:paraId="3943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3" w:hRule="atLeast"/>
        </w:trPr>
        <w:tc>
          <w:tcPr>
            <w:tcW w:w="705" w:type="dxa"/>
            <w:vAlign w:val="center"/>
          </w:tcPr>
          <w:p w14:paraId="185CA09D">
            <w:pPr>
              <w:spacing w:line="240" w:lineRule="atLeast"/>
              <w:jc w:val="center"/>
            </w:pPr>
            <w:r>
              <w:rPr>
                <w:rFonts w:hint="eastAsia"/>
              </w:rPr>
              <w:t>1</w:t>
            </w:r>
          </w:p>
        </w:tc>
        <w:tc>
          <w:tcPr>
            <w:tcW w:w="1422" w:type="dxa"/>
            <w:tcBorders>
              <w:bottom w:val="single" w:color="auto" w:sz="4" w:space="0"/>
            </w:tcBorders>
            <w:shd w:val="clear" w:color="auto" w:fill="auto"/>
            <w:vAlign w:val="center"/>
          </w:tcPr>
          <w:p w14:paraId="2C492426">
            <w:pPr>
              <w:keepNext w:val="0"/>
              <w:keepLines/>
              <w:pageBreakBefore w:val="0"/>
              <w:widowControl w:val="0"/>
              <w:tabs>
                <w:tab w:val="left" w:pos="6915"/>
              </w:tabs>
              <w:kinsoku/>
              <w:wordWrap/>
              <w:overflowPunct/>
              <w:topLinePunct w:val="0"/>
              <w:autoSpaceDE/>
              <w:autoSpaceDN/>
              <w:bidi w:val="0"/>
              <w:adjustRightInd/>
              <w:snapToGrid/>
              <w:textAlignment w:val="auto"/>
              <w:rPr>
                <w:rFonts w:hint="eastAsia" w:ascii="Arial" w:hAnsi="Arial" w:eastAsia="宋体" w:cs="Arial"/>
                <w:b w:val="0"/>
                <w:bCs w:val="0"/>
                <w:szCs w:val="21"/>
                <w:shd w:val="clear" w:color="auto" w:fill="FFFFFF"/>
                <w:lang w:eastAsia="zh-CN"/>
              </w:rPr>
            </w:pPr>
            <w:r>
              <w:rPr>
                <w:rFonts w:hint="eastAsia" w:ascii="Arial" w:hAnsi="Arial" w:eastAsia="宋体" w:cs="Arial"/>
                <w:b w:val="0"/>
                <w:bCs w:val="0"/>
                <w:szCs w:val="21"/>
                <w:shd w:val="clear" w:color="auto" w:fill="FFFFFF"/>
              </w:rPr>
              <w:t>高电流密度近常压X射线光电子能谱流动反应池</w:t>
            </w:r>
          </w:p>
          <w:p w14:paraId="48560B70">
            <w:pPr>
              <w:widowControl/>
              <w:spacing w:line="240" w:lineRule="atLeast"/>
              <w:jc w:val="center"/>
              <w:rPr>
                <w:rFonts w:ascii="Times New Roman" w:hAnsi="Times New Roman" w:eastAsia="宋体" w:cs="Times New Roman"/>
                <w:szCs w:val="24"/>
              </w:rPr>
            </w:pPr>
          </w:p>
        </w:tc>
        <w:tc>
          <w:tcPr>
            <w:tcW w:w="5244" w:type="dxa"/>
            <w:tcBorders>
              <w:bottom w:val="single" w:color="auto" w:sz="4" w:space="0"/>
            </w:tcBorders>
            <w:shd w:val="clear" w:color="auto" w:fill="auto"/>
            <w:vAlign w:val="center"/>
          </w:tcPr>
          <w:p w14:paraId="58CB50DF">
            <w:pPr>
              <w:tabs>
                <w:tab w:val="left" w:pos="6915"/>
              </w:tabs>
              <w:spacing w:line="240" w:lineRule="auto"/>
              <w:ind w:firstLine="440" w:firstLineChars="200"/>
              <w:rPr>
                <w:bCs/>
                <w:sz w:val="22"/>
                <w:szCs w:val="22"/>
              </w:rPr>
            </w:pPr>
            <w:r>
              <w:rPr>
                <w:bCs/>
                <w:sz w:val="22"/>
                <w:szCs w:val="22"/>
              </w:rPr>
              <w:t>高电流密度近常压 X 射线光电子能谱流动反应池用于合肥先进光源（HALF）BL08-TEA 实验站，主要用于近常压水气环境下高电流密度电化学反应过程中催化剂表面的原位X射线光电子能谱表征。</w:t>
            </w:r>
          </w:p>
          <w:p w14:paraId="0AEA5C92">
            <w:pPr>
              <w:tabs>
                <w:tab w:val="left" w:pos="6915"/>
              </w:tabs>
              <w:spacing w:line="240" w:lineRule="auto"/>
              <w:ind w:firstLine="440" w:firstLineChars="200"/>
              <w:rPr>
                <w:bCs/>
                <w:sz w:val="22"/>
                <w:szCs w:val="22"/>
              </w:rPr>
            </w:pPr>
            <w:r>
              <w:rPr>
                <w:bCs/>
                <w:sz w:val="22"/>
                <w:szCs w:val="22"/>
              </w:rPr>
              <w:t>高电流密度近常压 X 射线光电子能谱流动反应池主要包括反应池主体部分、加热模块、集流体、循环模块及相关配件。其中，反应池主体部分包括上盖板、下盖板和池体；加热模块包括加热片、热偶和温控器；集流体为高纯金网；循环模块包括蠕动泵、PEEK 管道及连接件；相关配件包括O圈、PTFE膜、Nafion 117膜和PEEK固定螺丝等。</w:t>
            </w:r>
          </w:p>
          <w:p w14:paraId="5BEE138C">
            <w:pPr>
              <w:tabs>
                <w:tab w:val="left" w:pos="6915"/>
              </w:tabs>
              <w:spacing w:line="240" w:lineRule="auto"/>
              <w:ind w:firstLine="420" w:firstLineChars="200"/>
              <w:jc w:val="center"/>
              <w:rPr>
                <w:bCs/>
              </w:rPr>
            </w:pPr>
            <w:r>
              <w:rPr>
                <w:bCs/>
              </w:rPr>
              <w:drawing>
                <wp:inline distT="0" distB="0" distL="0" distR="0">
                  <wp:extent cx="2907030" cy="1583690"/>
                  <wp:effectExtent l="0" t="0" r="7620" b="1651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2907030" cy="1583690"/>
                          </a:xfrm>
                          <a:prstGeom prst="rect">
                            <a:avLst/>
                          </a:prstGeom>
                          <a:noFill/>
                        </pic:spPr>
                      </pic:pic>
                    </a:graphicData>
                  </a:graphic>
                </wp:inline>
              </w:drawing>
            </w:r>
          </w:p>
          <w:p w14:paraId="5770B8C6">
            <w:pPr>
              <w:tabs>
                <w:tab w:val="left" w:pos="6915"/>
              </w:tabs>
              <w:spacing w:line="240" w:lineRule="auto"/>
              <w:ind w:firstLine="442" w:firstLineChars="200"/>
              <w:jc w:val="center"/>
              <w:rPr>
                <w:rFonts w:hint="eastAsia"/>
                <w:bCs/>
                <w:sz w:val="22"/>
                <w:szCs w:val="22"/>
              </w:rPr>
            </w:pPr>
            <w:r>
              <w:rPr>
                <w:rFonts w:hint="eastAsia"/>
                <w:b/>
                <w:sz w:val="22"/>
                <w:szCs w:val="22"/>
              </w:rPr>
              <w:t>图1：</w:t>
            </w:r>
            <w:r>
              <w:rPr>
                <w:rFonts w:hint="eastAsia"/>
                <w:bCs/>
                <w:sz w:val="22"/>
                <w:szCs w:val="22"/>
              </w:rPr>
              <w:t>反应池设计示意图</w:t>
            </w:r>
          </w:p>
          <w:p w14:paraId="74BDF1AE">
            <w:pPr>
              <w:tabs>
                <w:tab w:val="left" w:pos="6915"/>
              </w:tabs>
              <w:spacing w:line="240" w:lineRule="auto"/>
              <w:rPr>
                <w:sz w:val="22"/>
                <w:szCs w:val="22"/>
              </w:rPr>
            </w:pPr>
            <w:r>
              <w:rPr>
                <w:sz w:val="22"/>
                <w:szCs w:val="22"/>
              </w:rPr>
              <w:t>参数及精度要求如下：</w:t>
            </w:r>
          </w:p>
          <w:p w14:paraId="35ED8630">
            <w:pPr>
              <w:spacing w:before="156" w:beforeLines="50" w:after="156" w:afterLines="50" w:line="240" w:lineRule="auto"/>
              <w:ind w:firstLine="422" w:firstLineChars="200"/>
              <w:jc w:val="center"/>
              <w:rPr>
                <w:bCs/>
                <w:szCs w:val="32"/>
              </w:rPr>
            </w:pPr>
            <w:r>
              <w:rPr>
                <w:b/>
                <w:szCs w:val="32"/>
              </w:rPr>
              <w:t xml:space="preserve">表1 </w:t>
            </w:r>
            <w:r>
              <w:rPr>
                <w:bCs/>
                <w:szCs w:val="32"/>
              </w:rPr>
              <w:t>关键技术参数汇总表</w:t>
            </w:r>
          </w:p>
          <w:tbl>
            <w:tblPr>
              <w:tblStyle w:val="5"/>
              <w:tblW w:w="52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2"/>
              <w:gridCol w:w="3557"/>
            </w:tblGrid>
            <w:tr w14:paraId="2472F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blHeader/>
                <w:jc w:val="center"/>
              </w:trPr>
              <w:tc>
                <w:tcPr>
                  <w:tcW w:w="1662" w:type="dxa"/>
                  <w:vAlign w:val="center"/>
                </w:tcPr>
                <w:p w14:paraId="7441C184">
                  <w:pPr>
                    <w:spacing w:line="240" w:lineRule="auto"/>
                    <w:jc w:val="center"/>
                    <w:rPr>
                      <w:color w:val="000000"/>
                      <w:szCs w:val="21"/>
                    </w:rPr>
                  </w:pPr>
                  <w:r>
                    <w:rPr>
                      <w:color w:val="000000"/>
                      <w:szCs w:val="21"/>
                    </w:rPr>
                    <w:t>组成</w:t>
                  </w:r>
                </w:p>
              </w:tc>
              <w:tc>
                <w:tcPr>
                  <w:tcW w:w="3557" w:type="dxa"/>
                </w:tcPr>
                <w:p w14:paraId="19A9DC3E">
                  <w:pPr>
                    <w:spacing w:line="240" w:lineRule="auto"/>
                    <w:jc w:val="center"/>
                    <w:rPr>
                      <w:color w:val="000000"/>
                      <w:szCs w:val="21"/>
                    </w:rPr>
                  </w:pPr>
                  <w:r>
                    <w:rPr>
                      <w:color w:val="000000"/>
                      <w:szCs w:val="21"/>
                    </w:rPr>
                    <w:t>技术指标要求</w:t>
                  </w:r>
                </w:p>
              </w:tc>
            </w:tr>
            <w:tr w14:paraId="7A4D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1" w:hRule="atLeast"/>
                <w:jc w:val="center"/>
              </w:trPr>
              <w:tc>
                <w:tcPr>
                  <w:tcW w:w="1662" w:type="dxa"/>
                  <w:vAlign w:val="center"/>
                </w:tcPr>
                <w:p w14:paraId="6884C84A">
                  <w:pPr>
                    <w:spacing w:line="240" w:lineRule="auto"/>
                    <w:rPr>
                      <w:sz w:val="20"/>
                      <w:szCs w:val="20"/>
                    </w:rPr>
                  </w:pPr>
                  <w:r>
                    <w:rPr>
                      <w:sz w:val="20"/>
                      <w:szCs w:val="20"/>
                    </w:rPr>
                    <w:t>1．</w:t>
                  </w:r>
                  <w:r>
                    <w:rPr>
                      <w:rFonts w:hint="eastAsia"/>
                      <w:sz w:val="20"/>
                      <w:szCs w:val="20"/>
                    </w:rPr>
                    <w:t>反应池</w:t>
                  </w:r>
                  <w:r>
                    <w:rPr>
                      <w:sz w:val="20"/>
                      <w:szCs w:val="20"/>
                    </w:rPr>
                    <w:t>主体部分</w:t>
                  </w:r>
                  <w:r>
                    <w:rPr>
                      <w:rFonts w:hint="eastAsia"/>
                      <w:sz w:val="20"/>
                      <w:szCs w:val="20"/>
                    </w:rPr>
                    <w:t>。</w:t>
                  </w:r>
                  <w:r>
                    <w:rPr>
                      <w:sz w:val="20"/>
                      <w:szCs w:val="20"/>
                    </w:rPr>
                    <w:t>数目为3套。</w:t>
                  </w:r>
                </w:p>
              </w:tc>
              <w:tc>
                <w:tcPr>
                  <w:tcW w:w="3557" w:type="dxa"/>
                </w:tcPr>
                <w:p w14:paraId="4904AD41">
                  <w:pPr>
                    <w:spacing w:line="240" w:lineRule="auto"/>
                    <w:rPr>
                      <w:sz w:val="20"/>
                      <w:szCs w:val="20"/>
                    </w:rPr>
                  </w:pPr>
                  <w:r>
                    <w:rPr>
                      <w:sz w:val="20"/>
                      <w:szCs w:val="20"/>
                    </w:rPr>
                    <w:t>1.1上盖板外径≤40 mm，厚度≥1 mm，中间开有10 mm的开孔，开有宽度~4 mm，深度约0.8 mm的贯通开槽。</w:t>
                  </w:r>
                </w:p>
                <w:p w14:paraId="53775F71">
                  <w:pPr>
                    <w:spacing w:line="240" w:lineRule="auto"/>
                    <w:rPr>
                      <w:sz w:val="20"/>
                      <w:szCs w:val="20"/>
                    </w:rPr>
                  </w:pPr>
                  <w:r>
                    <w:rPr>
                      <w:sz w:val="20"/>
                      <w:szCs w:val="20"/>
                    </w:rPr>
                    <w:t>1.2下盖板外径≤40 mm，厚度≥1 mm，并开有蛇形流道，深度约0.5 mm。</w:t>
                  </w:r>
                </w:p>
                <w:p w14:paraId="2595612C">
                  <w:pPr>
                    <w:spacing w:line="240" w:lineRule="auto"/>
                    <w:rPr>
                      <w:sz w:val="20"/>
                      <w:szCs w:val="20"/>
                    </w:rPr>
                  </w:pPr>
                  <w:r>
                    <w:rPr>
                      <w:sz w:val="20"/>
                      <w:szCs w:val="20"/>
                    </w:rPr>
                    <w:t>1.3 池体外径≤40 mm，厚度≤20 mm。</w:t>
                  </w:r>
                </w:p>
                <w:p w14:paraId="6EBD96C5">
                  <w:pPr>
                    <w:spacing w:line="240" w:lineRule="auto"/>
                    <w:rPr>
                      <w:sz w:val="20"/>
                      <w:szCs w:val="20"/>
                    </w:rPr>
                  </w:pPr>
                  <w:r>
                    <w:rPr>
                      <w:sz w:val="20"/>
                      <w:szCs w:val="20"/>
                    </w:rPr>
                    <w:t>1.4上盖板和下盖板材质</w:t>
                  </w:r>
                  <w:r>
                    <w:rPr>
                      <w:rFonts w:hint="eastAsia"/>
                      <w:sz w:val="20"/>
                      <w:szCs w:val="20"/>
                    </w:rPr>
                    <w:t>为钛金属</w:t>
                  </w:r>
                  <w:r>
                    <w:rPr>
                      <w:sz w:val="20"/>
                      <w:szCs w:val="20"/>
                    </w:rPr>
                    <w:t>，池体</w:t>
                  </w:r>
                  <w:r>
                    <w:rPr>
                      <w:rFonts w:hint="eastAsia"/>
                      <w:sz w:val="20"/>
                      <w:szCs w:val="20"/>
                    </w:rPr>
                    <w:t>材质为</w:t>
                  </w:r>
                  <w:r>
                    <w:rPr>
                      <w:sz w:val="20"/>
                      <w:szCs w:val="20"/>
                    </w:rPr>
                    <w:t>PEEK。</w:t>
                  </w:r>
                </w:p>
              </w:tc>
            </w:tr>
            <w:tr w14:paraId="3F1C9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1662" w:type="dxa"/>
                  <w:vMerge w:val="restart"/>
                  <w:vAlign w:val="center"/>
                </w:tcPr>
                <w:p w14:paraId="1AF6D0B7">
                  <w:pPr>
                    <w:spacing w:line="240" w:lineRule="auto"/>
                    <w:rPr>
                      <w:sz w:val="20"/>
                      <w:szCs w:val="20"/>
                    </w:rPr>
                  </w:pPr>
                  <w:r>
                    <w:rPr>
                      <w:sz w:val="20"/>
                      <w:szCs w:val="20"/>
                    </w:rPr>
                    <w:t>2．加热模块：包括加热片、热偶和温控器三部分。数目为3套。</w:t>
                  </w:r>
                </w:p>
              </w:tc>
              <w:tc>
                <w:tcPr>
                  <w:tcW w:w="3557" w:type="dxa"/>
                </w:tcPr>
                <w:p w14:paraId="09B1CC95">
                  <w:pPr>
                    <w:spacing w:line="240" w:lineRule="auto"/>
                    <w:rPr>
                      <w:sz w:val="20"/>
                      <w:szCs w:val="20"/>
                    </w:rPr>
                  </w:pPr>
                  <w:r>
                    <w:rPr>
                      <w:sz w:val="20"/>
                      <w:szCs w:val="20"/>
                    </w:rPr>
                    <w:t>2.1加热片：采用聚酰亚胺（PI）柔性绝缘基底和镍铬合金加热层，直径≤40 mm，中间开孔~20 mm的圆片，厚度：0.15-0.30 mm</w:t>
                  </w:r>
                  <w:r>
                    <w:rPr>
                      <w:rFonts w:hint="eastAsia"/>
                      <w:sz w:val="20"/>
                      <w:szCs w:val="20"/>
                    </w:rPr>
                    <w:t>。</w:t>
                  </w:r>
                </w:p>
                <w:p w14:paraId="05022A47">
                  <w:pPr>
                    <w:spacing w:line="240" w:lineRule="auto"/>
                    <w:rPr>
                      <w:sz w:val="20"/>
                      <w:szCs w:val="20"/>
                    </w:rPr>
                  </w:pPr>
                  <w:r>
                    <w:rPr>
                      <w:sz w:val="20"/>
                      <w:szCs w:val="20"/>
                    </w:rPr>
                    <w:t>2.2绝缘电阻≥100 MΩ，工作电压 12/24 V DC，功率密度 0.2-1.0 W cm</w:t>
                  </w:r>
                  <w:r>
                    <w:rPr>
                      <w:sz w:val="20"/>
                      <w:szCs w:val="20"/>
                      <w:vertAlign w:val="superscript"/>
                    </w:rPr>
                    <w:t>-2</w:t>
                  </w:r>
                  <w:r>
                    <w:rPr>
                      <w:sz w:val="20"/>
                      <w:szCs w:val="20"/>
                    </w:rPr>
                    <w:t>，最高加热温度可达 150 ℃。</w:t>
                  </w:r>
                </w:p>
              </w:tc>
            </w:tr>
            <w:tr w14:paraId="2A319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662" w:type="dxa"/>
                  <w:vMerge w:val="continue"/>
                  <w:vAlign w:val="center"/>
                </w:tcPr>
                <w:p w14:paraId="46EBC0D8">
                  <w:pPr>
                    <w:spacing w:line="240" w:lineRule="auto"/>
                    <w:rPr>
                      <w:color w:val="000000"/>
                      <w:szCs w:val="21"/>
                    </w:rPr>
                  </w:pPr>
                </w:p>
              </w:tc>
              <w:tc>
                <w:tcPr>
                  <w:tcW w:w="3557" w:type="dxa"/>
                </w:tcPr>
                <w:p w14:paraId="5D51E7AC">
                  <w:pPr>
                    <w:spacing w:line="240" w:lineRule="auto"/>
                    <w:rPr>
                      <w:sz w:val="20"/>
                      <w:szCs w:val="20"/>
                    </w:rPr>
                  </w:pPr>
                  <w:r>
                    <w:rPr>
                      <w:sz w:val="20"/>
                      <w:szCs w:val="20"/>
                    </w:rPr>
                    <w:t>2.3热偶：K型，接线端子M3。</w:t>
                  </w:r>
                </w:p>
              </w:tc>
            </w:tr>
            <w:tr w14:paraId="250D0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662" w:type="dxa"/>
                  <w:vMerge w:val="continue"/>
                  <w:vAlign w:val="center"/>
                </w:tcPr>
                <w:p w14:paraId="4C64022C">
                  <w:pPr>
                    <w:spacing w:line="240" w:lineRule="auto"/>
                    <w:rPr>
                      <w:color w:val="000000"/>
                      <w:szCs w:val="21"/>
                    </w:rPr>
                  </w:pPr>
                </w:p>
              </w:tc>
              <w:tc>
                <w:tcPr>
                  <w:tcW w:w="3557" w:type="dxa"/>
                </w:tcPr>
                <w:p w14:paraId="33B44021">
                  <w:pPr>
                    <w:spacing w:line="240" w:lineRule="auto"/>
                    <w:rPr>
                      <w:sz w:val="20"/>
                      <w:szCs w:val="20"/>
                    </w:rPr>
                  </w:pPr>
                  <w:r>
                    <w:rPr>
                      <w:sz w:val="20"/>
                      <w:szCs w:val="20"/>
                    </w:rPr>
                    <w:t>2.4温控器：PID控温和测温，±0.1 ℃温度精度。</w:t>
                  </w:r>
                </w:p>
              </w:tc>
            </w:tr>
            <w:tr w14:paraId="0431F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662" w:type="dxa"/>
                  <w:vAlign w:val="center"/>
                </w:tcPr>
                <w:p w14:paraId="009CD4EA">
                  <w:pPr>
                    <w:spacing w:line="240" w:lineRule="auto"/>
                    <w:rPr>
                      <w:sz w:val="20"/>
                      <w:szCs w:val="20"/>
                    </w:rPr>
                  </w:pPr>
                  <w:r>
                    <w:rPr>
                      <w:sz w:val="20"/>
                      <w:szCs w:val="20"/>
                    </w:rPr>
                    <w:t>3.集流体：金网。</w:t>
                  </w:r>
                </w:p>
              </w:tc>
              <w:tc>
                <w:tcPr>
                  <w:tcW w:w="3557" w:type="dxa"/>
                </w:tcPr>
                <w:p w14:paraId="1BA0D5AC">
                  <w:pPr>
                    <w:spacing w:line="240" w:lineRule="auto"/>
                    <w:rPr>
                      <w:sz w:val="20"/>
                      <w:szCs w:val="20"/>
                    </w:rPr>
                  </w:pPr>
                  <w:r>
                    <w:rPr>
                      <w:sz w:val="20"/>
                      <w:szCs w:val="20"/>
                    </w:rPr>
                    <w:t>3.1材质：</w:t>
                  </w:r>
                  <w:r>
                    <w:rPr>
                      <w:rFonts w:hint="eastAsia"/>
                      <w:sz w:val="20"/>
                      <w:szCs w:val="20"/>
                    </w:rPr>
                    <w:t>金</w:t>
                  </w:r>
                  <w:r>
                    <w:rPr>
                      <w:sz w:val="20"/>
                      <w:szCs w:val="20"/>
                    </w:rPr>
                    <w:t>，</w:t>
                  </w:r>
                  <w:r>
                    <w:rPr>
                      <w:rFonts w:hint="eastAsia"/>
                      <w:sz w:val="20"/>
                      <w:szCs w:val="20"/>
                    </w:rPr>
                    <w:t>纯度</w:t>
                  </w:r>
                  <w:r>
                    <w:rPr>
                      <w:sz w:val="20"/>
                      <w:szCs w:val="20"/>
                    </w:rPr>
                    <w:t>≥99.99%，网格数为100-300 目/英寸，</w:t>
                  </w:r>
                  <w:bookmarkStart w:id="0" w:name="OLE_LINK11"/>
                  <w:r>
                    <w:rPr>
                      <w:sz w:val="20"/>
                      <w:szCs w:val="20"/>
                    </w:rPr>
                    <w:t>尺寸≥</w:t>
                  </w:r>
                  <w:r>
                    <w:rPr>
                      <w:rFonts w:hint="eastAsia"/>
                      <w:sz w:val="20"/>
                      <w:szCs w:val="20"/>
                    </w:rPr>
                    <w:t>280</w:t>
                  </w:r>
                  <w:r>
                    <w:rPr>
                      <w:sz w:val="20"/>
                      <w:szCs w:val="20"/>
                    </w:rPr>
                    <w:t xml:space="preserve"> mm×</w:t>
                  </w:r>
                  <w:r>
                    <w:rPr>
                      <w:rFonts w:hint="eastAsia"/>
                      <w:sz w:val="20"/>
                      <w:szCs w:val="20"/>
                    </w:rPr>
                    <w:t>280</w:t>
                  </w:r>
                  <w:r>
                    <w:rPr>
                      <w:sz w:val="20"/>
                      <w:szCs w:val="20"/>
                    </w:rPr>
                    <w:t xml:space="preserve"> mm</w:t>
                  </w:r>
                  <w:bookmarkEnd w:id="0"/>
                  <w:r>
                    <w:rPr>
                      <w:rFonts w:hint="eastAsia"/>
                      <w:sz w:val="20"/>
                      <w:szCs w:val="20"/>
                    </w:rPr>
                    <w:t>。</w:t>
                  </w:r>
                </w:p>
              </w:tc>
            </w:tr>
            <w:tr w14:paraId="118E0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1662" w:type="dxa"/>
                  <w:vAlign w:val="center"/>
                </w:tcPr>
                <w:p w14:paraId="0C025A7F">
                  <w:pPr>
                    <w:spacing w:line="240" w:lineRule="auto"/>
                    <w:rPr>
                      <w:sz w:val="20"/>
                      <w:szCs w:val="20"/>
                    </w:rPr>
                  </w:pPr>
                  <w:r>
                    <w:rPr>
                      <w:sz w:val="20"/>
                      <w:szCs w:val="20"/>
                    </w:rPr>
                    <w:t>4.循环模块：蠕动泵和管道。数目为3套。</w:t>
                  </w:r>
                </w:p>
              </w:tc>
              <w:tc>
                <w:tcPr>
                  <w:tcW w:w="3557" w:type="dxa"/>
                </w:tcPr>
                <w:p w14:paraId="515665DB">
                  <w:pPr>
                    <w:spacing w:line="240" w:lineRule="auto"/>
                    <w:rPr>
                      <w:sz w:val="20"/>
                      <w:szCs w:val="20"/>
                    </w:rPr>
                  </w:pPr>
                  <w:r>
                    <w:rPr>
                      <w:sz w:val="20"/>
                      <w:szCs w:val="20"/>
                    </w:rPr>
                    <w:t>4.1蠕动泵流速为0-100 mL/min</w:t>
                  </w:r>
                  <w:r>
                    <w:rPr>
                      <w:rFonts w:hint="eastAsia"/>
                      <w:sz w:val="20"/>
                      <w:szCs w:val="20"/>
                    </w:rPr>
                    <w:t>。</w:t>
                  </w:r>
                </w:p>
                <w:p w14:paraId="7A8E6F17">
                  <w:pPr>
                    <w:spacing w:line="240" w:lineRule="auto"/>
                    <w:rPr>
                      <w:sz w:val="20"/>
                      <w:szCs w:val="20"/>
                    </w:rPr>
                  </w:pPr>
                  <w:r>
                    <w:rPr>
                      <w:sz w:val="20"/>
                      <w:szCs w:val="20"/>
                    </w:rPr>
                    <w:t>4.2管道材质为PEEK材质，外径为1/8 inch，内径为1/16 inch，长度不低于10 m。</w:t>
                  </w:r>
                </w:p>
                <w:p w14:paraId="4548B67F">
                  <w:pPr>
                    <w:spacing w:line="240" w:lineRule="auto"/>
                    <w:rPr>
                      <w:sz w:val="20"/>
                      <w:szCs w:val="20"/>
                    </w:rPr>
                  </w:pPr>
                  <w:r>
                    <w:rPr>
                      <w:rFonts w:hint="eastAsia"/>
                      <w:sz w:val="20"/>
                      <w:szCs w:val="20"/>
                    </w:rPr>
                    <w:t xml:space="preserve">4.3 </w:t>
                  </w:r>
                  <w:r>
                    <w:rPr>
                      <w:sz w:val="20"/>
                      <w:szCs w:val="20"/>
                    </w:rPr>
                    <w:t>配有2个1/8 inch的PEEK倒锥接头，实现管道与池体连接。</w:t>
                  </w:r>
                </w:p>
              </w:tc>
            </w:tr>
            <w:tr w14:paraId="333A3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jc w:val="center"/>
              </w:trPr>
              <w:tc>
                <w:tcPr>
                  <w:tcW w:w="1662" w:type="dxa"/>
                  <w:vAlign w:val="center"/>
                </w:tcPr>
                <w:p w14:paraId="113FD8DF">
                  <w:pPr>
                    <w:spacing w:line="240" w:lineRule="auto"/>
                    <w:rPr>
                      <w:sz w:val="20"/>
                      <w:szCs w:val="20"/>
                    </w:rPr>
                  </w:pPr>
                  <w:r>
                    <w:rPr>
                      <w:sz w:val="20"/>
                      <w:szCs w:val="20"/>
                    </w:rPr>
                    <w:t>5.相关配件</w:t>
                  </w:r>
                  <w:r>
                    <w:rPr>
                      <w:rFonts w:hint="eastAsia"/>
                      <w:sz w:val="20"/>
                      <w:szCs w:val="20"/>
                    </w:rPr>
                    <w:t>。</w:t>
                  </w:r>
                </w:p>
              </w:tc>
              <w:tc>
                <w:tcPr>
                  <w:tcW w:w="3557" w:type="dxa"/>
                </w:tcPr>
                <w:p w14:paraId="596FAA6B">
                  <w:pPr>
                    <w:spacing w:line="240" w:lineRule="auto"/>
                    <w:rPr>
                      <w:sz w:val="20"/>
                      <w:szCs w:val="20"/>
                    </w:rPr>
                  </w:pPr>
                  <w:r>
                    <w:rPr>
                      <w:sz w:val="20"/>
                      <w:szCs w:val="20"/>
                    </w:rPr>
                    <w:t>5.1 O圈：材质为含氟橡胶，内径 26 mm × 线径 1.5 mm，不少于20个。</w:t>
                  </w:r>
                </w:p>
                <w:p w14:paraId="2BE9A8AF">
                  <w:pPr>
                    <w:spacing w:line="240" w:lineRule="auto"/>
                    <w:rPr>
                      <w:sz w:val="20"/>
                      <w:szCs w:val="20"/>
                    </w:rPr>
                  </w:pPr>
                  <w:r>
                    <w:rPr>
                      <w:sz w:val="20"/>
                      <w:szCs w:val="20"/>
                    </w:rPr>
                    <w:t>5.2 PTFE膜：约0.2 mm厚度，≥1×1 m</w:t>
                  </w:r>
                  <w:r>
                    <w:rPr>
                      <w:sz w:val="20"/>
                      <w:szCs w:val="20"/>
                      <w:vertAlign w:val="superscript"/>
                    </w:rPr>
                    <w:t>2</w:t>
                  </w:r>
                  <w:r>
                    <w:rPr>
                      <w:sz w:val="20"/>
                      <w:szCs w:val="20"/>
                    </w:rPr>
                    <w:t>面积。</w:t>
                  </w:r>
                </w:p>
                <w:p w14:paraId="3DF904EF">
                  <w:pPr>
                    <w:spacing w:line="240" w:lineRule="auto"/>
                    <w:rPr>
                      <w:sz w:val="20"/>
                      <w:szCs w:val="20"/>
                    </w:rPr>
                  </w:pPr>
                  <w:r>
                    <w:rPr>
                      <w:sz w:val="20"/>
                      <w:szCs w:val="20"/>
                    </w:rPr>
                    <w:t>5.3 Nafion 117膜：约0.183 mm厚度，≥0.1 × 0.1 m</w:t>
                  </w:r>
                  <w:r>
                    <w:rPr>
                      <w:sz w:val="20"/>
                      <w:szCs w:val="20"/>
                      <w:vertAlign w:val="superscript"/>
                    </w:rPr>
                    <w:t>2</w:t>
                  </w:r>
                  <w:r>
                    <w:rPr>
                      <w:sz w:val="20"/>
                      <w:szCs w:val="20"/>
                    </w:rPr>
                    <w:t xml:space="preserve">面积。 </w:t>
                  </w:r>
                </w:p>
                <w:p w14:paraId="153F29FB">
                  <w:pPr>
                    <w:spacing w:line="240" w:lineRule="auto"/>
                    <w:rPr>
                      <w:sz w:val="20"/>
                      <w:szCs w:val="20"/>
                    </w:rPr>
                  </w:pPr>
                  <w:r>
                    <w:rPr>
                      <w:sz w:val="20"/>
                      <w:szCs w:val="20"/>
                    </w:rPr>
                    <w:t>5.4固定螺丝：材质为PEEK，M2螺丝×5 mm，不少于80个。</w:t>
                  </w:r>
                </w:p>
              </w:tc>
            </w:tr>
          </w:tbl>
          <w:p w14:paraId="407EF38A">
            <w:pPr>
              <w:tabs>
                <w:tab w:val="left" w:pos="6915"/>
              </w:tabs>
              <w:spacing w:line="240" w:lineRule="auto"/>
              <w:ind w:firstLine="440" w:firstLineChars="200"/>
              <w:rPr>
                <w:b/>
                <w:bCs/>
                <w:sz w:val="32"/>
              </w:rPr>
            </w:pPr>
            <w:r>
              <w:rPr>
                <w:sz w:val="22"/>
                <w:szCs w:val="22"/>
              </w:rPr>
              <w:t>反应池整体需要配合合肥先进光源（HALF）-BL08 TEA实验站设计，也即满足入射光10°入射样品，催化剂直接暴露</w:t>
            </w:r>
            <w:r>
              <w:rPr>
                <w:rFonts w:hint="eastAsia"/>
                <w:sz w:val="22"/>
                <w:szCs w:val="22"/>
              </w:rPr>
              <w:t>于</w:t>
            </w:r>
            <w:r>
              <w:rPr>
                <w:sz w:val="22"/>
                <w:szCs w:val="22"/>
              </w:rPr>
              <w:t>X射线，中间没有窗口隔绝，</w:t>
            </w:r>
            <w:r>
              <w:rPr>
                <w:rFonts w:hint="eastAsia"/>
                <w:sz w:val="22"/>
                <w:szCs w:val="22"/>
              </w:rPr>
              <w:t>样品表面</w:t>
            </w:r>
            <w:r>
              <w:rPr>
                <w:sz w:val="22"/>
                <w:szCs w:val="22"/>
              </w:rPr>
              <w:t>同锥孔距离300 μm（±10%）</w:t>
            </w:r>
            <w:r>
              <w:rPr>
                <w:rFonts w:hint="eastAsia"/>
                <w:sz w:val="22"/>
                <w:szCs w:val="22"/>
              </w:rPr>
              <w:t>。</w:t>
            </w:r>
            <w:r>
              <w:rPr>
                <w:sz w:val="22"/>
                <w:szCs w:val="22"/>
              </w:rPr>
              <w:t>分析器锥孔全开角60.5°，外径13 mm，长度10 mm。</w:t>
            </w:r>
            <w:r>
              <w:rPr>
                <w:b/>
                <w:bCs/>
                <w:sz w:val="22"/>
                <w:szCs w:val="22"/>
              </w:rPr>
              <w:t>分析器锥孔以及反应池在使用时构型如下图所示。</w:t>
            </w:r>
          </w:p>
          <w:p w14:paraId="6151C634">
            <w:pPr>
              <w:tabs>
                <w:tab w:val="left" w:pos="6915"/>
              </w:tabs>
              <w:jc w:val="center"/>
              <w:rPr>
                <w:b/>
                <w:szCs w:val="21"/>
              </w:rPr>
            </w:pPr>
            <w:r>
              <w:rPr>
                <w:b/>
                <w:szCs w:val="21"/>
              </w:rPr>
              <w:drawing>
                <wp:inline distT="0" distB="0" distL="0" distR="0">
                  <wp:extent cx="2611755" cy="1804670"/>
                  <wp:effectExtent l="0" t="0" r="0" b="5080"/>
                  <wp:docPr id="77"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6"/>
                          <pic:cNvPicPr>
                            <a:picLocks noChangeAspect="1"/>
                          </pic:cNvPicPr>
                        </pic:nvPicPr>
                        <pic:blipFill>
                          <a:blip r:embed="rId5"/>
                          <a:stretch>
                            <a:fillRect/>
                          </a:stretch>
                        </pic:blipFill>
                        <pic:spPr>
                          <a:xfrm>
                            <a:off x="0" y="0"/>
                            <a:ext cx="2611755" cy="1804670"/>
                          </a:xfrm>
                          <a:prstGeom prst="rect">
                            <a:avLst/>
                          </a:prstGeom>
                        </pic:spPr>
                      </pic:pic>
                    </a:graphicData>
                  </a:graphic>
                </wp:inline>
              </w:drawing>
            </w:r>
          </w:p>
          <w:p w14:paraId="192DA743">
            <w:pPr>
              <w:tabs>
                <w:tab w:val="left" w:pos="6915"/>
              </w:tabs>
              <w:jc w:val="center"/>
              <w:rPr>
                <w:bCs/>
                <w:sz w:val="22"/>
                <w:szCs w:val="20"/>
              </w:rPr>
            </w:pPr>
            <w:r>
              <w:rPr>
                <w:rFonts w:hint="eastAsia"/>
                <w:b/>
                <w:sz w:val="22"/>
                <w:szCs w:val="20"/>
              </w:rPr>
              <w:t>图2：</w:t>
            </w:r>
            <w:r>
              <w:rPr>
                <w:rFonts w:hint="eastAsia"/>
                <w:bCs/>
                <w:sz w:val="22"/>
                <w:szCs w:val="20"/>
              </w:rPr>
              <w:t>腔体锥孔示意图</w:t>
            </w:r>
          </w:p>
          <w:p w14:paraId="07767E2D">
            <w:pPr>
              <w:tabs>
                <w:tab w:val="left" w:pos="6915"/>
              </w:tabs>
              <w:jc w:val="center"/>
              <w:rPr>
                <w:bCs/>
                <w:szCs w:val="21"/>
              </w:rPr>
            </w:pPr>
            <w:r>
              <w:rPr>
                <w:bCs/>
                <w:szCs w:val="21"/>
              </w:rPr>
              <w:drawing>
                <wp:inline distT="0" distB="0" distL="0" distR="0">
                  <wp:extent cx="2517775" cy="1017270"/>
                  <wp:effectExtent l="0" t="0" r="0" b="11430"/>
                  <wp:docPr id="8937131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713119" name="图片 1"/>
                          <pic:cNvPicPr>
                            <a:picLocks noChangeAspect="1" noChangeArrowheads="1"/>
                          </pic:cNvPicPr>
                        </pic:nvPicPr>
                        <pic:blipFill>
                          <a:blip r:embed="rId6">
                            <a:extLst>
                              <a:ext uri="{28A0092B-C50C-407E-A947-70E740481C1C}">
                                <a14:useLocalDpi xmlns:a14="http://schemas.microsoft.com/office/drawing/2010/main" val="0"/>
                              </a:ext>
                            </a:extLst>
                          </a:blip>
                          <a:srcRect t="13638"/>
                          <a:stretch>
                            <a:fillRect/>
                          </a:stretch>
                        </pic:blipFill>
                        <pic:spPr>
                          <a:xfrm>
                            <a:off x="0" y="0"/>
                            <a:ext cx="2517775" cy="1017270"/>
                          </a:xfrm>
                          <a:prstGeom prst="rect">
                            <a:avLst/>
                          </a:prstGeom>
                          <a:noFill/>
                          <a:ln>
                            <a:noFill/>
                          </a:ln>
                        </pic:spPr>
                      </pic:pic>
                    </a:graphicData>
                  </a:graphic>
                </wp:inline>
              </w:drawing>
            </w:r>
          </w:p>
          <w:p w14:paraId="67D326BD">
            <w:pPr>
              <w:tabs>
                <w:tab w:val="left" w:pos="6915"/>
              </w:tabs>
              <w:jc w:val="center"/>
              <w:rPr>
                <w:bCs/>
                <w:szCs w:val="21"/>
              </w:rPr>
            </w:pPr>
            <w:r>
              <w:rPr>
                <w:rFonts w:hint="eastAsia"/>
                <w:b/>
                <w:sz w:val="22"/>
                <w:szCs w:val="20"/>
              </w:rPr>
              <w:t>图3：</w:t>
            </w:r>
            <w:r>
              <w:rPr>
                <w:sz w:val="22"/>
                <w:szCs w:val="22"/>
              </w:rPr>
              <w:t>反应池在使用时构型</w:t>
            </w:r>
            <w:r>
              <w:rPr>
                <w:rFonts w:hint="eastAsia"/>
                <w:sz w:val="22"/>
                <w:szCs w:val="20"/>
              </w:rPr>
              <w:t>示意图</w:t>
            </w:r>
          </w:p>
          <w:p w14:paraId="1B8CBB00">
            <w:pPr>
              <w:pStyle w:val="11"/>
              <w:numPr>
                <w:ilvl w:val="0"/>
                <w:numId w:val="0"/>
              </w:numPr>
              <w:ind w:left="360" w:leftChars="0" w:hanging="360" w:firstLineChars="0"/>
              <w:rPr>
                <w:rFonts w:ascii="Arial" w:hAnsi="Arial" w:eastAsia="宋体" w:cs="Arial"/>
                <w:szCs w:val="21"/>
                <w:shd w:val="clear" w:color="auto" w:fill="FFFFFF"/>
              </w:rPr>
            </w:pPr>
            <w:bookmarkStart w:id="3" w:name="_GoBack"/>
            <w:bookmarkEnd w:id="3"/>
          </w:p>
        </w:tc>
        <w:tc>
          <w:tcPr>
            <w:tcW w:w="1418" w:type="dxa"/>
            <w:vAlign w:val="center"/>
          </w:tcPr>
          <w:p w14:paraId="205FF5AB">
            <w:pPr>
              <w:spacing w:line="240" w:lineRule="atLeast"/>
              <w:jc w:val="center"/>
            </w:pPr>
          </w:p>
        </w:tc>
        <w:tc>
          <w:tcPr>
            <w:tcW w:w="992" w:type="dxa"/>
            <w:vAlign w:val="center"/>
          </w:tcPr>
          <w:p w14:paraId="1C60665B">
            <w:pPr>
              <w:spacing w:line="240" w:lineRule="atLeast"/>
              <w:jc w:val="center"/>
            </w:pPr>
          </w:p>
        </w:tc>
      </w:tr>
      <w:tr w14:paraId="497E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6" w:hRule="atLeast"/>
        </w:trPr>
        <w:tc>
          <w:tcPr>
            <w:tcW w:w="705" w:type="dxa"/>
            <w:vAlign w:val="center"/>
          </w:tcPr>
          <w:p w14:paraId="21D5CC9B">
            <w:pPr>
              <w:spacing w:line="240" w:lineRule="atLeast"/>
              <w:jc w:val="center"/>
            </w:pPr>
            <w:r>
              <w:t>2</w:t>
            </w:r>
          </w:p>
        </w:tc>
        <w:tc>
          <w:tcPr>
            <w:tcW w:w="1422" w:type="dxa"/>
            <w:tcBorders>
              <w:top w:val="single" w:color="auto" w:sz="4" w:space="0"/>
              <w:left w:val="single" w:color="auto" w:sz="4" w:space="0"/>
              <w:bottom w:val="single" w:color="auto" w:sz="4" w:space="0"/>
              <w:right w:val="single" w:color="auto" w:sz="4" w:space="0"/>
            </w:tcBorders>
            <w:shd w:val="clear" w:color="auto" w:fill="auto"/>
            <w:vAlign w:val="center"/>
          </w:tcPr>
          <w:p w14:paraId="2217188C">
            <w:pPr>
              <w:widowControl/>
              <w:spacing w:line="240" w:lineRule="atLeast"/>
              <w:jc w:val="center"/>
            </w:pPr>
            <w:r>
              <w:rPr>
                <w:rFonts w:hint="eastAsia"/>
              </w:rPr>
              <w:t>商务条款</w:t>
            </w:r>
          </w:p>
        </w:tc>
        <w:tc>
          <w:tcPr>
            <w:tcW w:w="5244" w:type="dxa"/>
            <w:tcBorders>
              <w:top w:val="single" w:color="auto" w:sz="4" w:space="0"/>
              <w:left w:val="nil"/>
              <w:bottom w:val="single" w:color="auto" w:sz="4" w:space="0"/>
              <w:right w:val="single" w:color="auto" w:sz="4" w:space="0"/>
            </w:tcBorders>
            <w:shd w:val="clear" w:color="auto" w:fill="auto"/>
            <w:vAlign w:val="center"/>
          </w:tcPr>
          <w:p w14:paraId="79CB95EB">
            <w:pPr>
              <w:tabs>
                <w:tab w:val="left" w:pos="6915"/>
              </w:tabs>
              <w:jc w:val="left"/>
              <w:rPr>
                <w:rFonts w:hint="eastAsia" w:ascii="宋体" w:hAnsi="宋体"/>
                <w:b/>
                <w:szCs w:val="21"/>
              </w:rPr>
            </w:pPr>
            <w:r>
              <w:rPr>
                <w:rFonts w:ascii="宋体" w:hAnsi="宋体"/>
                <w:b/>
                <w:sz w:val="22"/>
                <w:szCs w:val="22"/>
              </w:rPr>
              <w:t>交货期</w:t>
            </w:r>
            <w:r>
              <w:rPr>
                <w:rFonts w:hint="eastAsia" w:ascii="宋体" w:hAnsi="宋体"/>
                <w:b/>
                <w:sz w:val="22"/>
                <w:szCs w:val="22"/>
              </w:rPr>
              <w:t>：</w:t>
            </w:r>
            <w:r>
              <w:rPr>
                <w:rFonts w:hint="eastAsia" w:ascii="宋体" w:hAnsi="宋体"/>
                <w:bCs/>
                <w:szCs w:val="21"/>
              </w:rPr>
              <w:t>合同签订后8个月内。</w:t>
            </w:r>
          </w:p>
          <w:p w14:paraId="7BB5FE81">
            <w:pPr>
              <w:tabs>
                <w:tab w:val="left" w:pos="6915"/>
              </w:tabs>
              <w:jc w:val="left"/>
              <w:rPr>
                <w:rFonts w:hint="eastAsia" w:ascii="宋体" w:hAnsi="宋体"/>
                <w:b/>
                <w:szCs w:val="21"/>
              </w:rPr>
            </w:pPr>
            <w:r>
              <w:rPr>
                <w:rFonts w:ascii="宋体" w:hAnsi="宋体"/>
                <w:b/>
                <w:sz w:val="22"/>
                <w:szCs w:val="22"/>
              </w:rPr>
              <w:t>交付进度</w:t>
            </w:r>
            <w:r>
              <w:rPr>
                <w:rFonts w:hint="eastAsia" w:ascii="宋体" w:hAnsi="宋体"/>
                <w:b/>
                <w:sz w:val="22"/>
                <w:szCs w:val="22"/>
              </w:rPr>
              <w:t>：</w:t>
            </w:r>
            <w:r>
              <w:rPr>
                <w:rFonts w:hint="eastAsia" w:ascii="宋体" w:hAnsi="宋体"/>
                <w:bCs/>
                <w:sz w:val="22"/>
                <w:szCs w:val="22"/>
              </w:rPr>
              <w:t>一次性交付。</w:t>
            </w:r>
          </w:p>
          <w:p w14:paraId="5C048B1D">
            <w:pPr>
              <w:tabs>
                <w:tab w:val="left" w:pos="6915"/>
              </w:tabs>
              <w:jc w:val="left"/>
              <w:rPr>
                <w:b/>
                <w:szCs w:val="21"/>
              </w:rPr>
            </w:pPr>
            <w:r>
              <w:rPr>
                <w:rFonts w:ascii="宋体" w:hAnsi="宋体"/>
                <w:b/>
                <w:sz w:val="22"/>
                <w:szCs w:val="22"/>
              </w:rPr>
              <w:t>付款方式</w:t>
            </w:r>
            <w:r>
              <w:rPr>
                <w:rFonts w:hint="eastAsia" w:ascii="宋体" w:hAnsi="宋体"/>
                <w:b/>
                <w:sz w:val="22"/>
                <w:szCs w:val="22"/>
              </w:rPr>
              <w:t>：</w:t>
            </w:r>
            <w:r>
              <w:rPr>
                <w:rFonts w:hint="eastAsia" w:ascii="宋体" w:hAnsi="宋体"/>
                <w:bCs/>
                <w:sz w:val="22"/>
                <w:szCs w:val="22"/>
              </w:rPr>
              <w:t>线下确认设计方案后支付合同总价的40%；货到买方指定地点并且经买方验收合格后，支付合同总价的60%。</w:t>
            </w:r>
          </w:p>
          <w:p w14:paraId="3559CD53">
            <w:pPr>
              <w:tabs>
                <w:tab w:val="left" w:pos="6915"/>
              </w:tabs>
              <w:spacing w:line="240" w:lineRule="auto"/>
              <w:rPr>
                <w:b/>
                <w:szCs w:val="21"/>
              </w:rPr>
            </w:pPr>
            <w:r>
              <w:rPr>
                <w:b/>
                <w:szCs w:val="21"/>
              </w:rPr>
              <w:t>验收指标及验收要求：</w:t>
            </w:r>
          </w:p>
          <w:p w14:paraId="5126B14F">
            <w:pPr>
              <w:spacing w:before="156" w:beforeLines="50" w:after="156" w:afterLines="50" w:line="240" w:lineRule="auto"/>
              <w:ind w:firstLine="442" w:firstLineChars="200"/>
              <w:jc w:val="center"/>
              <w:rPr>
                <w:bCs/>
                <w:sz w:val="22"/>
                <w:szCs w:val="28"/>
              </w:rPr>
            </w:pPr>
            <w:r>
              <w:rPr>
                <w:b/>
                <w:sz w:val="22"/>
                <w:szCs w:val="28"/>
              </w:rPr>
              <w:t>表</w:t>
            </w:r>
            <w:r>
              <w:rPr>
                <w:rFonts w:hint="eastAsia"/>
                <w:b/>
                <w:sz w:val="22"/>
                <w:szCs w:val="28"/>
              </w:rPr>
              <w:t>2</w:t>
            </w:r>
            <w:r>
              <w:rPr>
                <w:b/>
                <w:sz w:val="22"/>
                <w:szCs w:val="28"/>
              </w:rPr>
              <w:t xml:space="preserve"> </w:t>
            </w:r>
            <w:r>
              <w:rPr>
                <w:bCs/>
                <w:sz w:val="22"/>
                <w:szCs w:val="20"/>
              </w:rPr>
              <w:t>验收指标及验收</w:t>
            </w:r>
            <w:r>
              <w:rPr>
                <w:rFonts w:hint="eastAsia"/>
                <w:bCs/>
                <w:sz w:val="22"/>
                <w:szCs w:val="20"/>
              </w:rPr>
              <w:t>要求</w:t>
            </w:r>
            <w:r>
              <w:rPr>
                <w:bCs/>
                <w:sz w:val="22"/>
                <w:szCs w:val="28"/>
              </w:rPr>
              <w:t>汇总表</w:t>
            </w:r>
          </w:p>
          <w:tbl>
            <w:tblPr>
              <w:tblStyle w:val="5"/>
              <w:tblW w:w="4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8"/>
              <w:gridCol w:w="3271"/>
            </w:tblGrid>
            <w:tr w14:paraId="4945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blHeader/>
                <w:jc w:val="center"/>
              </w:trPr>
              <w:tc>
                <w:tcPr>
                  <w:tcW w:w="1528" w:type="dxa"/>
                  <w:vAlign w:val="center"/>
                </w:tcPr>
                <w:p w14:paraId="546CFA77">
                  <w:pPr>
                    <w:spacing w:line="240" w:lineRule="auto"/>
                    <w:jc w:val="center"/>
                    <w:rPr>
                      <w:color w:val="000000"/>
                      <w:sz w:val="22"/>
                      <w:szCs w:val="22"/>
                    </w:rPr>
                  </w:pPr>
                  <w:r>
                    <w:rPr>
                      <w:color w:val="000000"/>
                      <w:sz w:val="22"/>
                      <w:szCs w:val="22"/>
                    </w:rPr>
                    <w:t>组成</w:t>
                  </w:r>
                </w:p>
              </w:tc>
              <w:tc>
                <w:tcPr>
                  <w:tcW w:w="3271" w:type="dxa"/>
                  <w:vAlign w:val="center"/>
                </w:tcPr>
                <w:p w14:paraId="73D18E1B">
                  <w:pPr>
                    <w:spacing w:line="240" w:lineRule="auto"/>
                    <w:jc w:val="center"/>
                    <w:rPr>
                      <w:color w:val="000000"/>
                      <w:sz w:val="22"/>
                      <w:szCs w:val="22"/>
                    </w:rPr>
                  </w:pPr>
                  <w:r>
                    <w:rPr>
                      <w:bCs/>
                      <w:sz w:val="22"/>
                      <w:szCs w:val="22"/>
                    </w:rPr>
                    <w:t>验收指标及验收</w:t>
                  </w:r>
                  <w:r>
                    <w:rPr>
                      <w:rFonts w:hint="eastAsia"/>
                      <w:bCs/>
                      <w:sz w:val="22"/>
                      <w:szCs w:val="22"/>
                    </w:rPr>
                    <w:t>要求</w:t>
                  </w:r>
                </w:p>
              </w:tc>
            </w:tr>
            <w:tr w14:paraId="72D72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3" w:hRule="atLeast"/>
                <w:jc w:val="center"/>
              </w:trPr>
              <w:tc>
                <w:tcPr>
                  <w:tcW w:w="1528" w:type="dxa"/>
                  <w:vAlign w:val="center"/>
                </w:tcPr>
                <w:p w14:paraId="0BE726FC">
                  <w:pPr>
                    <w:spacing w:line="240" w:lineRule="auto"/>
                    <w:jc w:val="center"/>
                    <w:rPr>
                      <w:sz w:val="20"/>
                      <w:szCs w:val="20"/>
                    </w:rPr>
                  </w:pPr>
                  <w:r>
                    <w:rPr>
                      <w:sz w:val="20"/>
                      <w:szCs w:val="20"/>
                    </w:rPr>
                    <w:t>1．主体部分。</w:t>
                  </w:r>
                </w:p>
              </w:tc>
              <w:tc>
                <w:tcPr>
                  <w:tcW w:w="3271" w:type="dxa"/>
                  <w:vAlign w:val="center"/>
                </w:tcPr>
                <w:p w14:paraId="3DCF543C">
                  <w:pPr>
                    <w:spacing w:line="240" w:lineRule="auto"/>
                    <w:rPr>
                      <w:sz w:val="20"/>
                      <w:szCs w:val="20"/>
                    </w:rPr>
                  </w:pPr>
                  <w:bookmarkStart w:id="1" w:name="OLE_LINK13"/>
                  <w:r>
                    <w:rPr>
                      <w:sz w:val="20"/>
                      <w:szCs w:val="20"/>
                    </w:rPr>
                    <w:t>1.</w:t>
                  </w:r>
                  <w:r>
                    <w:rPr>
                      <w:rFonts w:hint="eastAsia"/>
                      <w:sz w:val="20"/>
                      <w:szCs w:val="20"/>
                    </w:rPr>
                    <w:t>1</w:t>
                  </w:r>
                  <w:r>
                    <w:rPr>
                      <w:sz w:val="20"/>
                      <w:szCs w:val="20"/>
                    </w:rPr>
                    <w:t>反应池装入真空模拟腔体</w:t>
                  </w:r>
                  <w:r>
                    <w:rPr>
                      <w:rFonts w:hint="eastAsia"/>
                      <w:sz w:val="20"/>
                      <w:szCs w:val="20"/>
                    </w:rPr>
                    <w:t>（由甲方提供，体积~</w:t>
                  </w:r>
                  <w:r>
                    <w:rPr>
                      <w:sz w:val="20"/>
                      <w:szCs w:val="20"/>
                    </w:rPr>
                    <w:t>18</w:t>
                  </w:r>
                  <w:r>
                    <w:rPr>
                      <w:rFonts w:hint="eastAsia"/>
                      <w:sz w:val="20"/>
                      <w:szCs w:val="20"/>
                    </w:rPr>
                    <w:t xml:space="preserve"> L）</w:t>
                  </w:r>
                  <w:r>
                    <w:rPr>
                      <w:sz w:val="20"/>
                      <w:szCs w:val="20"/>
                    </w:rPr>
                    <w:t>后，</w:t>
                  </w:r>
                  <w:r>
                    <w:rPr>
                      <w:rFonts w:hint="eastAsia"/>
                      <w:sz w:val="20"/>
                      <w:szCs w:val="20"/>
                    </w:rPr>
                    <w:t>在维持电解液循环流速不小于</w:t>
                  </w:r>
                  <w:r>
                    <w:rPr>
                      <w:sz w:val="20"/>
                      <w:szCs w:val="20"/>
                    </w:rPr>
                    <w:t>4</w:t>
                  </w:r>
                  <w:r>
                    <w:rPr>
                      <w:rFonts w:hint="eastAsia"/>
                      <w:sz w:val="20"/>
                      <w:szCs w:val="20"/>
                    </w:rPr>
                    <w:t>0</w:t>
                  </w:r>
                  <w:r>
                    <w:rPr>
                      <w:sz w:val="20"/>
                      <w:szCs w:val="20"/>
                    </w:rPr>
                    <w:t xml:space="preserve"> </w:t>
                  </w:r>
                  <w:r>
                    <w:rPr>
                      <w:rFonts w:hint="eastAsia"/>
                      <w:sz w:val="20"/>
                      <w:szCs w:val="20"/>
                    </w:rPr>
                    <w:t>mL</w:t>
                  </w:r>
                  <w:r>
                    <w:rPr>
                      <w:sz w:val="20"/>
                      <w:szCs w:val="20"/>
                    </w:rPr>
                    <w:t>/min</w:t>
                  </w:r>
                  <w:r>
                    <w:rPr>
                      <w:rFonts w:hint="eastAsia"/>
                      <w:sz w:val="20"/>
                      <w:szCs w:val="20"/>
                    </w:rPr>
                    <w:t>，利用干泵（由甲方提供，抽速15 m</w:t>
                  </w:r>
                  <w:r>
                    <w:rPr>
                      <w:rFonts w:hint="eastAsia"/>
                      <w:sz w:val="20"/>
                      <w:szCs w:val="20"/>
                      <w:vertAlign w:val="superscript"/>
                    </w:rPr>
                    <w:t>3</w:t>
                  </w:r>
                  <w:r>
                    <w:rPr>
                      <w:rFonts w:hint="eastAsia"/>
                      <w:sz w:val="20"/>
                      <w:szCs w:val="20"/>
                    </w:rPr>
                    <w:t>/h）在3</w:t>
                  </w:r>
                  <w:r>
                    <w:rPr>
                      <w:sz w:val="20"/>
                      <w:szCs w:val="20"/>
                    </w:rPr>
                    <w:t>0</w:t>
                  </w:r>
                  <w:r>
                    <w:rPr>
                      <w:rFonts w:hint="eastAsia"/>
                      <w:sz w:val="20"/>
                      <w:szCs w:val="20"/>
                    </w:rPr>
                    <w:t>分钟内可将腔体压力抽至低于0.</w:t>
                  </w:r>
                  <w:r>
                    <w:rPr>
                      <w:sz w:val="20"/>
                      <w:szCs w:val="20"/>
                    </w:rPr>
                    <w:t>2</w:t>
                  </w:r>
                  <w:r>
                    <w:rPr>
                      <w:rFonts w:hint="eastAsia"/>
                      <w:sz w:val="20"/>
                      <w:szCs w:val="20"/>
                    </w:rPr>
                    <w:t xml:space="preserve"> mbar</w:t>
                  </w:r>
                  <w:r>
                    <w:rPr>
                      <w:sz w:val="20"/>
                      <w:szCs w:val="20"/>
                    </w:rPr>
                    <w:t>。</w:t>
                  </w:r>
                </w:p>
                <w:bookmarkEnd w:id="1"/>
                <w:p w14:paraId="55DF4E99">
                  <w:pPr>
                    <w:spacing w:line="240" w:lineRule="auto"/>
                    <w:rPr>
                      <w:sz w:val="20"/>
                      <w:szCs w:val="20"/>
                    </w:rPr>
                  </w:pPr>
                  <w:r>
                    <w:rPr>
                      <w:rFonts w:hint="eastAsia"/>
                      <w:sz w:val="20"/>
                      <w:szCs w:val="20"/>
                    </w:rPr>
                    <w:t>1.</w:t>
                  </w:r>
                  <w:r>
                    <w:rPr>
                      <w:sz w:val="20"/>
                      <w:szCs w:val="20"/>
                    </w:rPr>
                    <w:t>2</w:t>
                  </w:r>
                  <w:r>
                    <w:rPr>
                      <w:rFonts w:hint="eastAsia"/>
                      <w:sz w:val="20"/>
                      <w:szCs w:val="20"/>
                    </w:rPr>
                    <w:t xml:space="preserve"> 数目为3套。</w:t>
                  </w:r>
                </w:p>
              </w:tc>
            </w:tr>
            <w:tr w14:paraId="48FE6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528" w:type="dxa"/>
                  <w:vAlign w:val="center"/>
                </w:tcPr>
                <w:p w14:paraId="429BDDE1">
                  <w:pPr>
                    <w:spacing w:line="276" w:lineRule="auto"/>
                    <w:jc w:val="center"/>
                    <w:rPr>
                      <w:sz w:val="20"/>
                      <w:szCs w:val="20"/>
                    </w:rPr>
                  </w:pPr>
                  <w:r>
                    <w:rPr>
                      <w:sz w:val="20"/>
                      <w:szCs w:val="20"/>
                    </w:rPr>
                    <w:t>2．加热模块</w:t>
                  </w:r>
                  <w:r>
                    <w:rPr>
                      <w:rFonts w:hint="eastAsia"/>
                      <w:sz w:val="20"/>
                      <w:szCs w:val="20"/>
                    </w:rPr>
                    <w:t>。</w:t>
                  </w:r>
                </w:p>
              </w:tc>
              <w:tc>
                <w:tcPr>
                  <w:tcW w:w="3271" w:type="dxa"/>
                  <w:vAlign w:val="center"/>
                </w:tcPr>
                <w:p w14:paraId="709BDA93">
                  <w:pPr>
                    <w:spacing w:line="276" w:lineRule="auto"/>
                    <w:rPr>
                      <w:sz w:val="20"/>
                      <w:szCs w:val="20"/>
                    </w:rPr>
                  </w:pPr>
                  <w:r>
                    <w:rPr>
                      <w:sz w:val="20"/>
                      <w:szCs w:val="20"/>
                    </w:rPr>
                    <w:t>2.1最高加热温度可达 150 ℃。</w:t>
                  </w:r>
                </w:p>
                <w:p w14:paraId="261D3170">
                  <w:pPr>
                    <w:spacing w:line="276" w:lineRule="auto"/>
                    <w:rPr>
                      <w:sz w:val="20"/>
                      <w:szCs w:val="20"/>
                    </w:rPr>
                  </w:pPr>
                  <w:r>
                    <w:rPr>
                      <w:rFonts w:hint="eastAsia"/>
                      <w:sz w:val="20"/>
                      <w:szCs w:val="20"/>
                    </w:rPr>
                    <w:t>2.</w:t>
                  </w:r>
                  <w:r>
                    <w:rPr>
                      <w:sz w:val="20"/>
                      <w:szCs w:val="20"/>
                    </w:rPr>
                    <w:t>2</w:t>
                  </w:r>
                  <w:r>
                    <w:rPr>
                      <w:rFonts w:hint="eastAsia"/>
                      <w:sz w:val="20"/>
                      <w:szCs w:val="20"/>
                    </w:rPr>
                    <w:t xml:space="preserve"> 数目为3套。</w:t>
                  </w:r>
                </w:p>
              </w:tc>
            </w:tr>
            <w:tr w14:paraId="3D5A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528" w:type="dxa"/>
                  <w:vAlign w:val="center"/>
                </w:tcPr>
                <w:p w14:paraId="63FDE03B">
                  <w:pPr>
                    <w:spacing w:line="276" w:lineRule="auto"/>
                    <w:jc w:val="center"/>
                    <w:rPr>
                      <w:sz w:val="20"/>
                      <w:szCs w:val="20"/>
                    </w:rPr>
                  </w:pPr>
                  <w:r>
                    <w:rPr>
                      <w:sz w:val="20"/>
                      <w:szCs w:val="20"/>
                    </w:rPr>
                    <w:t>3.</w:t>
                  </w:r>
                  <w:r>
                    <w:rPr>
                      <w:rFonts w:hint="eastAsia"/>
                      <w:sz w:val="20"/>
                      <w:szCs w:val="20"/>
                    </w:rPr>
                    <w:t xml:space="preserve"> </w:t>
                  </w:r>
                  <w:r>
                    <w:rPr>
                      <w:sz w:val="20"/>
                      <w:szCs w:val="20"/>
                    </w:rPr>
                    <w:t>集流体</w:t>
                  </w:r>
                  <w:r>
                    <w:rPr>
                      <w:rFonts w:hint="eastAsia"/>
                      <w:sz w:val="20"/>
                      <w:szCs w:val="20"/>
                    </w:rPr>
                    <w:t>。</w:t>
                  </w:r>
                </w:p>
              </w:tc>
              <w:tc>
                <w:tcPr>
                  <w:tcW w:w="3271" w:type="dxa"/>
                  <w:vAlign w:val="center"/>
                </w:tcPr>
                <w:p w14:paraId="1D90214F">
                  <w:pPr>
                    <w:spacing w:line="276" w:lineRule="auto"/>
                    <w:rPr>
                      <w:sz w:val="20"/>
                      <w:szCs w:val="20"/>
                    </w:rPr>
                  </w:pPr>
                  <w:r>
                    <w:rPr>
                      <w:sz w:val="20"/>
                      <w:szCs w:val="20"/>
                    </w:rPr>
                    <w:t>3.1网格数为100-300 目/英寸，尺寸≥</w:t>
                  </w:r>
                  <w:r>
                    <w:rPr>
                      <w:rFonts w:hint="eastAsia"/>
                      <w:sz w:val="20"/>
                      <w:szCs w:val="20"/>
                    </w:rPr>
                    <w:t>280</w:t>
                  </w:r>
                  <w:r>
                    <w:rPr>
                      <w:sz w:val="20"/>
                      <w:szCs w:val="20"/>
                    </w:rPr>
                    <w:t xml:space="preserve"> mm×</w:t>
                  </w:r>
                  <w:r>
                    <w:rPr>
                      <w:rFonts w:hint="eastAsia"/>
                      <w:sz w:val="20"/>
                      <w:szCs w:val="20"/>
                    </w:rPr>
                    <w:t>280</w:t>
                  </w:r>
                  <w:r>
                    <w:rPr>
                      <w:sz w:val="20"/>
                      <w:szCs w:val="20"/>
                    </w:rPr>
                    <w:t xml:space="preserve"> mm</w:t>
                  </w:r>
                  <w:r>
                    <w:rPr>
                      <w:rFonts w:hint="eastAsia"/>
                      <w:sz w:val="20"/>
                      <w:szCs w:val="20"/>
                    </w:rPr>
                    <w:t>。</w:t>
                  </w:r>
                </w:p>
              </w:tc>
            </w:tr>
            <w:tr w14:paraId="117B4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528" w:type="dxa"/>
                  <w:vAlign w:val="center"/>
                </w:tcPr>
                <w:p w14:paraId="58C94F6F">
                  <w:pPr>
                    <w:spacing w:line="276" w:lineRule="auto"/>
                    <w:jc w:val="center"/>
                    <w:rPr>
                      <w:sz w:val="20"/>
                      <w:szCs w:val="20"/>
                    </w:rPr>
                  </w:pPr>
                  <w:r>
                    <w:rPr>
                      <w:sz w:val="20"/>
                      <w:szCs w:val="20"/>
                    </w:rPr>
                    <w:t>4.</w:t>
                  </w:r>
                  <w:r>
                    <w:rPr>
                      <w:rFonts w:hint="eastAsia"/>
                      <w:sz w:val="20"/>
                      <w:szCs w:val="20"/>
                    </w:rPr>
                    <w:t xml:space="preserve"> </w:t>
                  </w:r>
                  <w:r>
                    <w:rPr>
                      <w:sz w:val="20"/>
                      <w:szCs w:val="20"/>
                    </w:rPr>
                    <w:t>循环模块：蠕动泵和管道。</w:t>
                  </w:r>
                </w:p>
              </w:tc>
              <w:tc>
                <w:tcPr>
                  <w:tcW w:w="3271" w:type="dxa"/>
                  <w:vAlign w:val="center"/>
                </w:tcPr>
                <w:p w14:paraId="3DF94D5C">
                  <w:pPr>
                    <w:spacing w:line="276" w:lineRule="auto"/>
                    <w:rPr>
                      <w:sz w:val="20"/>
                      <w:szCs w:val="20"/>
                    </w:rPr>
                  </w:pPr>
                  <w:r>
                    <w:rPr>
                      <w:sz w:val="20"/>
                      <w:szCs w:val="20"/>
                    </w:rPr>
                    <w:t>4.1蠕动泵流速为0-100 mL/min</w:t>
                  </w:r>
                  <w:r>
                    <w:rPr>
                      <w:rFonts w:hint="eastAsia"/>
                      <w:sz w:val="20"/>
                      <w:szCs w:val="20"/>
                    </w:rPr>
                    <w:t>。</w:t>
                  </w:r>
                </w:p>
                <w:p w14:paraId="20199BD0">
                  <w:pPr>
                    <w:spacing w:line="276" w:lineRule="auto"/>
                    <w:rPr>
                      <w:sz w:val="20"/>
                      <w:szCs w:val="20"/>
                    </w:rPr>
                  </w:pPr>
                  <w:r>
                    <w:rPr>
                      <w:sz w:val="20"/>
                      <w:szCs w:val="20"/>
                    </w:rPr>
                    <w:t>4.2</w:t>
                  </w:r>
                  <w:r>
                    <w:rPr>
                      <w:rFonts w:hint="eastAsia"/>
                      <w:sz w:val="20"/>
                      <w:szCs w:val="20"/>
                    </w:rPr>
                    <w:t xml:space="preserve"> 数目为3套。</w:t>
                  </w:r>
                </w:p>
              </w:tc>
            </w:tr>
            <w:tr w14:paraId="6D36C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2" w:hRule="atLeast"/>
                <w:jc w:val="center"/>
              </w:trPr>
              <w:tc>
                <w:tcPr>
                  <w:tcW w:w="1528" w:type="dxa"/>
                  <w:vAlign w:val="center"/>
                </w:tcPr>
                <w:p w14:paraId="41A43923">
                  <w:pPr>
                    <w:spacing w:line="276" w:lineRule="auto"/>
                    <w:jc w:val="center"/>
                    <w:rPr>
                      <w:sz w:val="20"/>
                      <w:szCs w:val="20"/>
                    </w:rPr>
                  </w:pPr>
                  <w:r>
                    <w:rPr>
                      <w:rFonts w:hint="eastAsia"/>
                      <w:bCs/>
                      <w:sz w:val="20"/>
                      <w:szCs w:val="20"/>
                    </w:rPr>
                    <w:t xml:space="preserve">5. </w:t>
                  </w:r>
                  <w:r>
                    <w:rPr>
                      <w:bCs/>
                      <w:sz w:val="20"/>
                      <w:szCs w:val="20"/>
                    </w:rPr>
                    <w:t>高电流密度近常压 X 射线光电子能谱流动反应池</w:t>
                  </w:r>
                  <w:r>
                    <w:rPr>
                      <w:rFonts w:hint="eastAsia"/>
                      <w:bCs/>
                      <w:sz w:val="20"/>
                      <w:szCs w:val="20"/>
                    </w:rPr>
                    <w:t>。</w:t>
                  </w:r>
                </w:p>
              </w:tc>
              <w:tc>
                <w:tcPr>
                  <w:tcW w:w="3271" w:type="dxa"/>
                  <w:vAlign w:val="center"/>
                </w:tcPr>
                <w:p w14:paraId="5430BFB1">
                  <w:pPr>
                    <w:spacing w:line="276" w:lineRule="auto"/>
                    <w:rPr>
                      <w:sz w:val="20"/>
                      <w:szCs w:val="20"/>
                    </w:rPr>
                  </w:pPr>
                  <w:r>
                    <w:rPr>
                      <w:rFonts w:hint="eastAsia"/>
                      <w:sz w:val="20"/>
                      <w:szCs w:val="20"/>
                    </w:rPr>
                    <w:t xml:space="preserve">5.1 </w:t>
                  </w:r>
                  <w:r>
                    <w:rPr>
                      <w:sz w:val="20"/>
                      <w:szCs w:val="20"/>
                    </w:rPr>
                    <w:t>在真空模拟腔</w:t>
                  </w:r>
                  <w:r>
                    <w:rPr>
                      <w:rFonts w:hint="eastAsia"/>
                      <w:sz w:val="20"/>
                      <w:szCs w:val="20"/>
                    </w:rPr>
                    <w:t>体（由甲方提供）</w:t>
                  </w:r>
                  <w:r>
                    <w:rPr>
                      <w:sz w:val="20"/>
                      <w:szCs w:val="20"/>
                    </w:rPr>
                    <w:t>中，10-20 mbar的水气环境下，电流密度</w:t>
                  </w:r>
                  <w:r>
                    <w:rPr>
                      <w:rFonts w:hint="eastAsia"/>
                      <w:sz w:val="20"/>
                      <w:szCs w:val="20"/>
                    </w:rPr>
                    <w:t>可达</w:t>
                  </w:r>
                  <w:r>
                    <w:rPr>
                      <w:sz w:val="20"/>
                      <w:szCs w:val="20"/>
                    </w:rPr>
                    <w:t>100 mA/cm</w:t>
                  </w:r>
                  <w:r>
                    <w:rPr>
                      <w:sz w:val="20"/>
                      <w:szCs w:val="20"/>
                      <w:vertAlign w:val="superscript"/>
                    </w:rPr>
                    <w:t>2</w:t>
                  </w:r>
                  <w:r>
                    <w:rPr>
                      <w:sz w:val="20"/>
                      <w:szCs w:val="20"/>
                    </w:rPr>
                    <w:t>。</w:t>
                  </w:r>
                </w:p>
              </w:tc>
            </w:tr>
          </w:tbl>
          <w:p w14:paraId="6D8DD87E">
            <w:pPr>
              <w:tabs>
                <w:tab w:val="left" w:pos="6915"/>
              </w:tabs>
              <w:jc w:val="left"/>
              <w:rPr>
                <w:rFonts w:hint="eastAsia"/>
                <w:bCs/>
                <w:sz w:val="22"/>
                <w:szCs w:val="22"/>
              </w:rPr>
            </w:pPr>
            <w:r>
              <w:rPr>
                <w:rFonts w:hint="eastAsia"/>
                <w:bCs/>
                <w:sz w:val="22"/>
                <w:szCs w:val="22"/>
              </w:rPr>
              <w:t>乙方辅助验收，并且在验收期间，货物数量、规格型号等与本合同约定不符，或存在质量问题的，乙方应在接到甲方异议之日起3日内更换或维修，并承担因此而发生的相关费用。</w:t>
            </w:r>
          </w:p>
          <w:p w14:paraId="035CD3EF">
            <w:pPr>
              <w:tabs>
                <w:tab w:val="left" w:pos="6915"/>
              </w:tabs>
              <w:jc w:val="left"/>
              <w:rPr>
                <w:rFonts w:hint="eastAsia" w:ascii="宋体" w:hAnsi="宋体"/>
                <w:b/>
                <w:sz w:val="22"/>
                <w:szCs w:val="22"/>
              </w:rPr>
            </w:pPr>
            <w:r>
              <w:rPr>
                <w:rFonts w:hint="eastAsia" w:ascii="宋体" w:hAnsi="宋体"/>
                <w:b/>
                <w:sz w:val="22"/>
                <w:szCs w:val="22"/>
              </w:rPr>
              <w:t>阶段</w:t>
            </w:r>
            <w:r>
              <w:rPr>
                <w:rFonts w:ascii="宋体" w:hAnsi="宋体"/>
                <w:b/>
                <w:sz w:val="22"/>
                <w:szCs w:val="22"/>
              </w:rPr>
              <w:t>性检查要求</w:t>
            </w:r>
            <w:r>
              <w:rPr>
                <w:rFonts w:hint="eastAsia" w:ascii="宋体" w:hAnsi="宋体"/>
                <w:b/>
                <w:sz w:val="22"/>
                <w:szCs w:val="22"/>
              </w:rPr>
              <w:t>：</w:t>
            </w:r>
          </w:p>
          <w:p w14:paraId="464CADEA">
            <w:pPr>
              <w:tabs>
                <w:tab w:val="left" w:pos="6915"/>
              </w:tabs>
              <w:jc w:val="left"/>
              <w:rPr>
                <w:rFonts w:hint="eastAsia" w:ascii="宋体" w:hAnsi="宋体"/>
                <w:b/>
                <w:szCs w:val="21"/>
              </w:rPr>
            </w:pPr>
            <w:r>
              <w:rPr>
                <w:rFonts w:hint="eastAsia"/>
                <w:bCs/>
                <w:sz w:val="22"/>
                <w:szCs w:val="22"/>
              </w:rPr>
              <w:t>合同签订</w:t>
            </w:r>
            <w:r>
              <w:rPr>
                <w:bCs/>
                <w:sz w:val="22"/>
                <w:szCs w:val="22"/>
              </w:rPr>
              <w:t>1</w:t>
            </w:r>
            <w:r>
              <w:rPr>
                <w:rFonts w:hint="eastAsia"/>
                <w:bCs/>
                <w:sz w:val="22"/>
                <w:szCs w:val="22"/>
              </w:rPr>
              <w:t>个月内线下确认设计方案（包含且不限于</w:t>
            </w:r>
            <w:bookmarkStart w:id="2" w:name="OLE_LINK1"/>
            <w:r>
              <w:rPr>
                <w:rFonts w:hint="eastAsia"/>
                <w:bCs/>
                <w:sz w:val="22"/>
                <w:szCs w:val="22"/>
              </w:rPr>
              <w:t>三维模型、二维图纸等必要文件</w:t>
            </w:r>
            <w:bookmarkEnd w:id="2"/>
            <w:r>
              <w:rPr>
                <w:rFonts w:hint="eastAsia"/>
                <w:bCs/>
                <w:sz w:val="22"/>
                <w:szCs w:val="22"/>
              </w:rPr>
              <w:t>）后付预付款，设计经甲方确认后方可投产；乙方在研制过程中按甲方签字确认的设计方案内容实施，如存在重大技术状态更改时，应形成更改记录，并经甲方签字确认后执行；签订</w:t>
            </w:r>
            <w:r>
              <w:rPr>
                <w:bCs/>
                <w:sz w:val="22"/>
                <w:szCs w:val="22"/>
              </w:rPr>
              <w:t>8</w:t>
            </w:r>
            <w:r>
              <w:rPr>
                <w:rFonts w:hint="eastAsia"/>
                <w:bCs/>
                <w:sz w:val="22"/>
                <w:szCs w:val="22"/>
              </w:rPr>
              <w:t>个月内进行出厂测试并提供所有文本材料，若存在外购材料，务必另附外购清单。</w:t>
            </w:r>
          </w:p>
          <w:p w14:paraId="79358DE4">
            <w:pPr>
              <w:tabs>
                <w:tab w:val="left" w:pos="6915"/>
              </w:tabs>
              <w:jc w:val="left"/>
              <w:rPr>
                <w:b/>
                <w:bCs/>
                <w:szCs w:val="21"/>
              </w:rPr>
            </w:pPr>
            <w:r>
              <w:rPr>
                <w:rFonts w:hint="eastAsia" w:ascii="宋体" w:hAnsi="宋体"/>
                <w:b/>
                <w:szCs w:val="21"/>
              </w:rPr>
              <w:t>档案要求：</w:t>
            </w:r>
            <w:r>
              <w:rPr>
                <w:rFonts w:hint="eastAsia"/>
                <w:bCs/>
                <w:sz w:val="22"/>
                <w:szCs w:val="22"/>
              </w:rPr>
              <w:t>厂家应按照合肥先进光源工程办要求提供三维模型、二维图纸等必要文件留档；厂家提供需提供具体的技术文档。</w:t>
            </w:r>
          </w:p>
          <w:p w14:paraId="251892DB">
            <w:pPr>
              <w:tabs>
                <w:tab w:val="left" w:pos="6915"/>
              </w:tabs>
              <w:jc w:val="left"/>
              <w:rPr>
                <w:rFonts w:ascii="Arial" w:hAnsi="Arial" w:eastAsia="宋体" w:cs="Arial"/>
                <w:szCs w:val="21"/>
                <w:shd w:val="clear" w:color="auto" w:fill="FFFFFF"/>
              </w:rPr>
            </w:pPr>
            <w:r>
              <w:rPr>
                <w:rFonts w:hint="eastAsia" w:ascii="宋体" w:hAnsi="宋体"/>
                <w:b/>
                <w:szCs w:val="21"/>
              </w:rPr>
              <w:t>保修</w:t>
            </w:r>
            <w:r>
              <w:rPr>
                <w:rFonts w:ascii="宋体" w:hAnsi="宋体"/>
                <w:b/>
                <w:szCs w:val="21"/>
              </w:rPr>
              <w:t>及售后服务</w:t>
            </w:r>
            <w:r>
              <w:rPr>
                <w:rFonts w:hint="eastAsia" w:ascii="宋体" w:hAnsi="宋体"/>
                <w:b/>
                <w:szCs w:val="21"/>
              </w:rPr>
              <w:t>：</w:t>
            </w:r>
            <w:r>
              <w:rPr>
                <w:rFonts w:hint="eastAsia"/>
                <w:bCs/>
                <w:sz w:val="22"/>
                <w:szCs w:val="22"/>
              </w:rPr>
              <w:t>厂家对其所提供设备的免费保修期为1年。</w:t>
            </w:r>
          </w:p>
        </w:tc>
        <w:tc>
          <w:tcPr>
            <w:tcW w:w="1418" w:type="dxa"/>
            <w:vAlign w:val="center"/>
          </w:tcPr>
          <w:p w14:paraId="324B1D27">
            <w:pPr>
              <w:spacing w:line="240" w:lineRule="atLeast"/>
              <w:jc w:val="center"/>
            </w:pPr>
          </w:p>
        </w:tc>
        <w:tc>
          <w:tcPr>
            <w:tcW w:w="992" w:type="dxa"/>
            <w:vAlign w:val="center"/>
          </w:tcPr>
          <w:p w14:paraId="06AA2CA0">
            <w:pPr>
              <w:spacing w:line="240" w:lineRule="atLeast"/>
              <w:jc w:val="center"/>
            </w:pPr>
          </w:p>
        </w:tc>
      </w:tr>
    </w:tbl>
    <w:p w14:paraId="6DFFEB29">
      <w:pPr>
        <w:ind w:right="840"/>
        <w:rPr>
          <w:sz w:val="24"/>
        </w:rPr>
      </w:pPr>
    </w:p>
    <w:p w14:paraId="0DED7F3B">
      <w:pPr>
        <w:ind w:right="840" w:firstLine="5040" w:firstLineChars="2100"/>
        <w:rPr>
          <w:sz w:val="24"/>
        </w:rPr>
      </w:pPr>
    </w:p>
    <w:p w14:paraId="6B36AD4F">
      <w:pPr>
        <w:ind w:right="840" w:firstLine="5040" w:firstLineChars="2100"/>
        <w:rPr>
          <w:sz w:val="24"/>
        </w:rPr>
      </w:pPr>
      <w:r>
        <w:rPr>
          <w:sz w:val="24"/>
        </w:rPr>
        <w:t>公司名称</w:t>
      </w:r>
      <w:r>
        <w:rPr>
          <w:rFonts w:hint="eastAsia"/>
          <w:sz w:val="24"/>
        </w:rPr>
        <w:t>（盖章）：</w:t>
      </w:r>
    </w:p>
    <w:p w14:paraId="2BA3965A">
      <w:pPr>
        <w:ind w:right="840"/>
        <w:jc w:val="center"/>
        <w:rPr>
          <w:sz w:val="24"/>
        </w:rPr>
      </w:pPr>
      <w:r>
        <w:rPr>
          <w:rFonts w:hint="eastAsia"/>
          <w:sz w:val="24"/>
        </w:rPr>
        <w:t xml:space="preserve"> </w:t>
      </w:r>
      <w:r>
        <w:rPr>
          <w:sz w:val="24"/>
        </w:rPr>
        <w:t xml:space="preserve">                            日期</w:t>
      </w:r>
      <w:r>
        <w:rPr>
          <w:rFonts w:hint="eastAsia"/>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YaHei">
    <w:altName w:val="宋体"/>
    <w:panose1 w:val="00000000000000000000"/>
    <w:charset w:val="86"/>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36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10C4"/>
    <w:rsid w:val="00015CB8"/>
    <w:rsid w:val="00020783"/>
    <w:rsid w:val="00025804"/>
    <w:rsid w:val="00050922"/>
    <w:rsid w:val="00086882"/>
    <w:rsid w:val="00090223"/>
    <w:rsid w:val="00091C8D"/>
    <w:rsid w:val="000E54CE"/>
    <w:rsid w:val="00102C13"/>
    <w:rsid w:val="00123779"/>
    <w:rsid w:val="001501D1"/>
    <w:rsid w:val="001548E0"/>
    <w:rsid w:val="001B219D"/>
    <w:rsid w:val="001D3367"/>
    <w:rsid w:val="002026B2"/>
    <w:rsid w:val="002212AC"/>
    <w:rsid w:val="00261EE1"/>
    <w:rsid w:val="00267E42"/>
    <w:rsid w:val="002D1729"/>
    <w:rsid w:val="002E518A"/>
    <w:rsid w:val="003009AA"/>
    <w:rsid w:val="003438B5"/>
    <w:rsid w:val="00363C73"/>
    <w:rsid w:val="003923FC"/>
    <w:rsid w:val="003C2330"/>
    <w:rsid w:val="003C7C5A"/>
    <w:rsid w:val="004626C3"/>
    <w:rsid w:val="00474B94"/>
    <w:rsid w:val="004973C3"/>
    <w:rsid w:val="004B0D2F"/>
    <w:rsid w:val="00516FB3"/>
    <w:rsid w:val="00547A75"/>
    <w:rsid w:val="00584F75"/>
    <w:rsid w:val="005C4758"/>
    <w:rsid w:val="005C4AA6"/>
    <w:rsid w:val="005E2C0C"/>
    <w:rsid w:val="005F14E0"/>
    <w:rsid w:val="005F7E7B"/>
    <w:rsid w:val="006074C0"/>
    <w:rsid w:val="00630F8F"/>
    <w:rsid w:val="00642CDA"/>
    <w:rsid w:val="00670B3D"/>
    <w:rsid w:val="006C07B4"/>
    <w:rsid w:val="006D67E0"/>
    <w:rsid w:val="00705387"/>
    <w:rsid w:val="00720BC4"/>
    <w:rsid w:val="007230C5"/>
    <w:rsid w:val="00731AE1"/>
    <w:rsid w:val="00744E8E"/>
    <w:rsid w:val="00750961"/>
    <w:rsid w:val="00757D88"/>
    <w:rsid w:val="007A4C29"/>
    <w:rsid w:val="007B2AE3"/>
    <w:rsid w:val="00811B08"/>
    <w:rsid w:val="00825420"/>
    <w:rsid w:val="00832C3E"/>
    <w:rsid w:val="00872767"/>
    <w:rsid w:val="00877DA3"/>
    <w:rsid w:val="00886A2E"/>
    <w:rsid w:val="008A717C"/>
    <w:rsid w:val="008D62B6"/>
    <w:rsid w:val="008E3DB8"/>
    <w:rsid w:val="008F0FFC"/>
    <w:rsid w:val="008F5C2B"/>
    <w:rsid w:val="009149BA"/>
    <w:rsid w:val="00961437"/>
    <w:rsid w:val="00965011"/>
    <w:rsid w:val="00995429"/>
    <w:rsid w:val="00996AC3"/>
    <w:rsid w:val="009B6E26"/>
    <w:rsid w:val="009C3224"/>
    <w:rsid w:val="009C4C31"/>
    <w:rsid w:val="009F0C82"/>
    <w:rsid w:val="009F5C3A"/>
    <w:rsid w:val="00A01094"/>
    <w:rsid w:val="00A11447"/>
    <w:rsid w:val="00A20D98"/>
    <w:rsid w:val="00A27625"/>
    <w:rsid w:val="00A44E8A"/>
    <w:rsid w:val="00A533CA"/>
    <w:rsid w:val="00A8112C"/>
    <w:rsid w:val="00AC1D37"/>
    <w:rsid w:val="00AC67EF"/>
    <w:rsid w:val="00AF7A8B"/>
    <w:rsid w:val="00B04741"/>
    <w:rsid w:val="00B311D0"/>
    <w:rsid w:val="00B64004"/>
    <w:rsid w:val="00B7785A"/>
    <w:rsid w:val="00B90DC2"/>
    <w:rsid w:val="00B971DE"/>
    <w:rsid w:val="00BA1B3F"/>
    <w:rsid w:val="00BC2767"/>
    <w:rsid w:val="00C102A3"/>
    <w:rsid w:val="00C1298E"/>
    <w:rsid w:val="00C26D9F"/>
    <w:rsid w:val="00C442AD"/>
    <w:rsid w:val="00CA3288"/>
    <w:rsid w:val="00CA3E3B"/>
    <w:rsid w:val="00D011DC"/>
    <w:rsid w:val="00D04097"/>
    <w:rsid w:val="00D24D09"/>
    <w:rsid w:val="00D72E1E"/>
    <w:rsid w:val="00D81354"/>
    <w:rsid w:val="00E00131"/>
    <w:rsid w:val="00E147A9"/>
    <w:rsid w:val="00E5012E"/>
    <w:rsid w:val="00E762FD"/>
    <w:rsid w:val="00E930C8"/>
    <w:rsid w:val="00EA412A"/>
    <w:rsid w:val="00EA6BA9"/>
    <w:rsid w:val="00F347F0"/>
    <w:rsid w:val="00F34AE9"/>
    <w:rsid w:val="00F357B0"/>
    <w:rsid w:val="00F43549"/>
    <w:rsid w:val="00F50B62"/>
    <w:rsid w:val="00F70F95"/>
    <w:rsid w:val="00F829DE"/>
    <w:rsid w:val="00F82AA6"/>
    <w:rsid w:val="00F855E3"/>
    <w:rsid w:val="00FC7C08"/>
    <w:rsid w:val="00FE15FA"/>
    <w:rsid w:val="0C7718F8"/>
    <w:rsid w:val="2D070EC5"/>
    <w:rsid w:val="46BB5348"/>
    <w:rsid w:val="51936088"/>
    <w:rsid w:val="5CEB034A"/>
    <w:rsid w:val="668D65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Autospacing="1" w:afterAutospacing="1" w:line="278" w:lineRule="auto"/>
      <w:jc w:val="left"/>
    </w:pPr>
    <w:rPr>
      <w:rFonts w:ascii="Times New Roman" w:hAnsi="Times New Roman" w:eastAsia="宋体" w:cs="Times New Roman"/>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style01"/>
    <w:basedOn w:val="7"/>
    <w:qFormat/>
    <w:uiPriority w:val="0"/>
    <w:rPr>
      <w:rFonts w:hint="default" w:ascii="MicrosoftYaHei" w:hAnsi="MicrosoftYaHei"/>
      <w:color w:val="000000"/>
      <w:sz w:val="22"/>
      <w:szCs w:val="22"/>
    </w:rPr>
  </w:style>
  <w:style w:type="character" w:customStyle="1" w:styleId="9">
    <w:name w:val="页眉 字符"/>
    <w:basedOn w:val="7"/>
    <w:link w:val="3"/>
    <w:qFormat/>
    <w:uiPriority w:val="99"/>
    <w:rPr>
      <w:sz w:val="18"/>
      <w:szCs w:val="18"/>
    </w:rPr>
  </w:style>
  <w:style w:type="character" w:customStyle="1" w:styleId="10">
    <w:name w:val="页脚 字符"/>
    <w:basedOn w:val="7"/>
    <w:link w:val="2"/>
    <w:qFormat/>
    <w:uiPriority w:val="99"/>
    <w:rPr>
      <w:sz w:val="18"/>
      <w:szCs w:val="18"/>
    </w:rPr>
  </w:style>
  <w:style w:type="paragraph" w:styleId="11">
    <w:name w:val="List Paragraph"/>
    <w:basedOn w:val="1"/>
    <w:autoRedefine/>
    <w:qFormat/>
    <w:uiPriority w:val="34"/>
    <w:pPr>
      <w:tabs>
        <w:tab w:val="left" w:pos="1428"/>
      </w:tabs>
      <w:ind w:firstLine="420" w:firstLineChars="200"/>
      <w:jc w:val="left"/>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4</Pages>
  <Words>434</Words>
  <Characters>486</Characters>
  <Lines>4</Lines>
  <Paragraphs>1</Paragraphs>
  <TotalTime>0</TotalTime>
  <ScaleCrop>false</ScaleCrop>
  <LinksUpToDate>false</LinksUpToDate>
  <CharactersWithSpaces>515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2024-07-15T01:36:00Z</dcterms:created>
  <dc:creator>China</dc:creator>
  <cp:lastModifiedBy>陈文佳</cp:lastModifiedBy>
  <dcterms:modified xsi:type="dcterms:W3CDTF">2026-09-24T07:07:40Z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eyJoZGlkIjoiMzc0OTQ1OWZiNDc3Y2MyZmZmZWIzYzRlODQ4NDE3OTYiLCJ1c2VySWQiOiIxNzc0OTA2Mjk1In0=</vt:lpwstr>
  </property>
  <property fmtid="{D5CDD505-2E9C-101B-9397-08002B2CF9AE}" pid="3" name="KSOProductBuildVer">
    <vt:lpwstr>2052-12.1.0.28043</vt:lpwstr>
  </property>
  <property fmtid="{D5CDD505-2E9C-101B-9397-08002B2CF9AE}" pid="4" name="ICV">
    <vt:lpwstr>20B1B4D6E71F47CB8E65CCEFBC87FC75_12</vt:lpwstr>
  </property>
</Properties>
</file>