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4BED1386">
      <w:pPr>
        <w:jc w:val="center"/>
      </w:pPr>
      <w:bookmarkStart w:id="0" w:name="_GoBack"/>
      <w:r>
        <w:rPr>
          <w:rFonts w:hint="eastAsia"/>
          <w:sz w:val="36"/>
        </w:rPr>
        <w:t>技术指标供应商确认表</w:t>
      </w:r>
      <w:bookmarkEnd w:id="0"/>
    </w:p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1"/>
        <w:gridCol w:w="5428"/>
        <w:gridCol w:w="1227"/>
        <w:gridCol w:w="1000"/>
      </w:tblGrid>
      <w:tr w14:paraId="05EE4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2065B20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21" w:type="dxa"/>
            <w:vAlign w:val="center"/>
          </w:tcPr>
          <w:p w14:paraId="1C771C07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428" w:type="dxa"/>
            <w:vAlign w:val="center"/>
          </w:tcPr>
          <w:p w14:paraId="63C1663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27" w:type="dxa"/>
            <w:vAlign w:val="center"/>
          </w:tcPr>
          <w:p w14:paraId="4FD9FBB8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149CE430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000" w:type="dxa"/>
            <w:vAlign w:val="center"/>
          </w:tcPr>
          <w:p w14:paraId="2BBF244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17F3B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</w:trPr>
        <w:tc>
          <w:tcPr>
            <w:tcW w:w="705" w:type="dxa"/>
            <w:vAlign w:val="center"/>
          </w:tcPr>
          <w:p w14:paraId="3F375B0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1E0AB">
            <w:pPr>
              <w:widowControl/>
              <w:spacing w:line="240" w:lineRule="atLeast"/>
              <w:jc w:val="center"/>
              <w:rPr>
                <w:rFonts w:hint="eastAsia" w:ascii="Times New Roman" w:hAnsi="Times New Roman" w:cs="Times New Roman" w:eastAsiaTheme="minorEastAsia"/>
                <w:bCs/>
                <w:sz w:val="24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bCs/>
                <w:kern w:val="0"/>
                <w:sz w:val="24"/>
              </w:rPr>
              <w:t>氦质谱检漏仪</w:t>
            </w:r>
            <w:r>
              <w:rPr>
                <w:rFonts w:hint="eastAsia" w:ascii="Times New Roman" w:hAnsi="Times New Roman" w:cs="Times New Roman"/>
                <w:b w:val="0"/>
                <w:bCs/>
                <w:kern w:val="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1台</w:t>
            </w:r>
            <w:r>
              <w:rPr>
                <w:rFonts w:hint="eastAsia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5428" w:type="dxa"/>
            <w:vAlign w:val="center"/>
          </w:tcPr>
          <w:p w14:paraId="1CBA8C73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jc w:val="left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氦质谱检漏的主机和干泵一体式，不可分离； </w:t>
            </w:r>
          </w:p>
          <w:p w14:paraId="3BAAC70F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jc w:val="left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可检气体类型：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4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He H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bscript"/>
              </w:rPr>
              <w:t xml:space="preserve">2 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；</w:t>
            </w:r>
          </w:p>
          <w:p w14:paraId="21A35588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jc w:val="left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氦气最小可检测漏率（真空检漏）：5×10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-12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 xml:space="preserve"> mbar·L/s；</w:t>
            </w:r>
          </w:p>
          <w:p w14:paraId="1214F609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jc w:val="left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检漏仪对氦最大抽速：≥ 5 L/s；</w:t>
            </w:r>
          </w:p>
          <w:p w14:paraId="492F7084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jc w:val="left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前级真空泵抽速：≥ 25 m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  <w:vertAlign w:val="superscript"/>
              </w:rPr>
              <w:t>3</w:t>
            </w: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/h；</w:t>
            </w:r>
          </w:p>
          <w:p w14:paraId="3BFC491A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jc w:val="left"/>
              <w:textAlignment w:val="auto"/>
              <w:rPr>
                <w:rFonts w:hint="default"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接口法兰：DN25KF/ DN40KF；</w:t>
            </w:r>
          </w:p>
          <w:p w14:paraId="2E929381">
            <w:pPr>
              <w:pStyle w:val="5"/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ind w:firstLineChars="0"/>
              <w:jc w:val="left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Cs/>
                <w:sz w:val="24"/>
                <w:szCs w:val="24"/>
              </w:rPr>
              <w:t>电源电压：220 V，50Hz。</w:t>
            </w:r>
          </w:p>
        </w:tc>
        <w:tc>
          <w:tcPr>
            <w:tcW w:w="1227" w:type="dxa"/>
            <w:vAlign w:val="center"/>
          </w:tcPr>
          <w:p w14:paraId="11BF7B33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5301A3E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0E591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705" w:type="dxa"/>
            <w:vAlign w:val="center"/>
          </w:tcPr>
          <w:p w14:paraId="4DF2FEE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73B1D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826E3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交货期：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合同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签订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后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个月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内</w:t>
            </w:r>
          </w:p>
          <w:p w14:paraId="379C679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lang w:val="en-US" w:eastAsia="zh-CN"/>
              </w:rPr>
              <w:t>一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次性交付</w:t>
            </w:r>
          </w:p>
          <w:p w14:paraId="68FCD922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付款方式：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30%电汇预付款，60%货款见发货单据电汇支付，10%货款凭卖方提供的最终用户签署的验收合格报告电汇支付。</w:t>
            </w:r>
          </w:p>
          <w:p w14:paraId="0843FCA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 xml:space="preserve">验收指标及验收要求： </w:t>
            </w:r>
          </w:p>
          <w:p w14:paraId="2482798F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所有采购设备到达交货地点后，在采购人现场检验，主要验收内容如下：</w:t>
            </w:r>
          </w:p>
          <w:p w14:paraId="6A78B47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（1）对运输过程中产生的设备损坏，采购人有权拒绝接收，并由供应商负责免费更换。</w:t>
            </w:r>
          </w:p>
          <w:p w14:paraId="3C875C11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（2）设备到货后，供应商需要到现场进行验收，到货验收需供应商提供完整的产品质量证明文件，产品数量及型号相符，视为验收合格；</w:t>
            </w:r>
          </w:p>
          <w:p w14:paraId="7A30DA2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（3）供应商应提交的技术文档应包括且不仅限于技术规格说明书、操作手册等资料。</w:t>
            </w:r>
          </w:p>
          <w:p w14:paraId="3EEE549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</w:rPr>
              <w:t>保修及售后服务：</w:t>
            </w:r>
          </w:p>
          <w:p w14:paraId="61108393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（1）设备无需供应商提供安装调试服务，但如招标人提出需求，供应商需在3个工作日内派人到指定现场；</w:t>
            </w:r>
          </w:p>
          <w:p w14:paraId="6C36B0AE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spacing w:line="300" w:lineRule="auto"/>
              <w:jc w:val="left"/>
              <w:textAlignment w:val="auto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（2）提供至少1年的免费保修，保修期自验收签字之日算起；</w:t>
            </w:r>
          </w:p>
          <w:p w14:paraId="53864AF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left"/>
              <w:textAlignment w:val="auto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</w:rPr>
              <w:t>（3）保修期间产品出现问题时，供应商需12h内做出响应，48h内前往现场进行故障排查。</w:t>
            </w:r>
          </w:p>
        </w:tc>
        <w:tc>
          <w:tcPr>
            <w:tcW w:w="1227" w:type="dxa"/>
            <w:vAlign w:val="center"/>
          </w:tcPr>
          <w:p w14:paraId="78474032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0D001AB6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55552B">
      <w:pPr>
        <w:ind w:right="840"/>
        <w:rPr>
          <w:sz w:val="22"/>
          <w:szCs w:val="22"/>
        </w:rPr>
      </w:pPr>
    </w:p>
    <w:p w14:paraId="473EE6D2">
      <w:pPr>
        <w:ind w:right="840" w:firstLine="4620" w:firstLineChars="2100"/>
        <w:rPr>
          <w:sz w:val="22"/>
          <w:szCs w:val="22"/>
        </w:rPr>
      </w:pPr>
    </w:p>
    <w:p w14:paraId="6CCA392F">
      <w:pPr>
        <w:ind w:right="840" w:firstLine="4620" w:firstLineChars="2100"/>
        <w:rPr>
          <w:sz w:val="22"/>
          <w:szCs w:val="22"/>
        </w:rPr>
      </w:pPr>
    </w:p>
    <w:p w14:paraId="6484E376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1425069F">
      <w:pPr>
        <w:ind w:right="84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7CAF3A71"/>
    <w:p w14:paraId="5E7617FD"/>
    <w:p w14:paraId="77E90963"/>
    <w:p w14:paraId="768DB5C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1E592E"/>
    <w:multiLevelType w:val="multilevel"/>
    <w:tmpl w:val="0D1E592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5648C"/>
    <w:rsid w:val="2C656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2026-03-12T07:05:00Z</dcterms:created>
  <dc:creator>DELL</dc:creator>
  <cp:lastModifiedBy>DELL</cp:lastModifiedBy>
  <dcterms:modified xsi:type="dcterms:W3CDTF">2026-03-12T07:08:39Z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00699E9E001F4AEDA32070E8EE765EEF_11</vt:lpwstr>
  </property>
  <property fmtid="{D5CDD505-2E9C-101B-9397-08002B2CF9AE}" pid="4" name="KSOTemplateDocerSaveRecord">
    <vt:lpwstr>eyJoZGlkIjoiN2RmNGQ2MDc0ZGFiNmIyNjNmMmJiNzcxMzg1OWQzY2YifQ==</vt:lpwstr>
  </property>
</Properties>
</file>