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lang w:val="en-US" w:eastAsia="zh-CN"/>
              </w:rPr>
              <w:t>烟雾箱</w:t>
            </w:r>
            <w:bookmarkStart w:id="2" w:name="_GoBack"/>
            <w:bookmarkEnd w:id="2"/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37E1E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/>
                <w:sz w:val="24"/>
                <w:szCs w:val="24"/>
              </w:rPr>
              <w:t>烟雾箱反应器规格：有效容积≥500 L，采用圆柱形石英玻璃反应器；反应器尺寸及长径比应满足气体均匀混合、光照及采样需求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  <w:r>
              <w:rPr>
                <w:rFonts w:hint="eastAsia"/>
                <w:sz w:val="24"/>
                <w:szCs w:val="24"/>
              </w:rPr>
              <w:tab/>
            </w:r>
          </w:p>
          <w:p w14:paraId="4052A78D">
            <w:pPr>
              <w:numPr>
                <w:ilvl w:val="0"/>
                <w:numId w:val="0"/>
              </w:numPr>
              <w:ind w:left="425" w:leftChars="0" w:hanging="425" w:firstLineChars="0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/>
                <w:sz w:val="24"/>
                <w:szCs w:val="24"/>
              </w:rPr>
              <w:t>烟雾箱外形尺寸：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正常安装状态下的最大外廓尺寸不超过：长×宽×高＝1.8</w:t>
            </w:r>
            <w:r>
              <w:rPr>
                <w:rFonts w:hint="eastAsia"/>
                <w:sz w:val="24"/>
                <w:szCs w:val="24"/>
              </w:rPr>
              <w:t>×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1.6</w:t>
            </w:r>
            <w:r>
              <w:rPr>
                <w:rFonts w:hint="eastAsia"/>
                <w:sz w:val="24"/>
                <w:szCs w:val="24"/>
              </w:rPr>
              <w:t>×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2.5米；</w:t>
            </w:r>
          </w:p>
          <w:p w14:paraId="5355CC0C">
            <w:pPr>
              <w:numPr>
                <w:ilvl w:val="0"/>
                <w:numId w:val="0"/>
              </w:numPr>
              <w:ind w:left="425" w:leftChars="0" w:hanging="425" w:firstLineChars="0"/>
              <w:jc w:val="both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3.温度控制范围至少覆盖 -10～40 ℃，温度稳定后控制波动度</w:t>
            </w:r>
            <w:r>
              <w:rPr>
                <w:rFonts w:hint="eastAsia"/>
                <w:sz w:val="24"/>
                <w:szCs w:val="24"/>
              </w:rPr>
              <w:t>≤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±0.5 ℃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</w:p>
          <w:p w14:paraId="1BF00646">
            <w:pPr>
              <w:numPr>
                <w:ilvl w:val="0"/>
                <w:numId w:val="0"/>
              </w:numPr>
              <w:ind w:left="425" w:leftChars="0" w:hanging="425" w:firstLineChars="0"/>
              <w:jc w:val="both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4.湿度控制范围至少覆盖10%～90% RH，湿度稳定后控制波动度</w:t>
            </w:r>
            <w:r>
              <w:rPr>
                <w:rFonts w:hint="eastAsia"/>
                <w:sz w:val="24"/>
                <w:szCs w:val="24"/>
              </w:rPr>
              <w:t>≤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±3% RH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</w:p>
          <w:p w14:paraId="30CC96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5.</w:t>
            </w:r>
            <w:r>
              <w:rPr>
                <w:rFonts w:hint="eastAsia"/>
                <w:sz w:val="24"/>
                <w:szCs w:val="24"/>
              </w:rPr>
              <w:t>模拟光源：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模拟光源</w:t>
            </w:r>
            <w:r>
              <w:rPr>
                <w:rFonts w:hint="eastAsia"/>
                <w:sz w:val="24"/>
                <w:szCs w:val="24"/>
              </w:rPr>
              <w:t>中心波长365nm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光源数量≥2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/>
                <w:sz w:val="24"/>
                <w:szCs w:val="24"/>
              </w:rPr>
              <w:t>支，单支额定功率≥30 W；光源应均匀布置于反应器周围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</w:rPr>
              <w:t>支持独立或分组控制；灯管应方便拆卸、更换及后续扩展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</w:p>
          <w:p w14:paraId="5B10A9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6.</w:t>
            </w:r>
            <w:r>
              <w:rPr>
                <w:rFonts w:hint="eastAsia"/>
                <w:sz w:val="24"/>
                <w:szCs w:val="24"/>
              </w:rPr>
              <w:t>反应器气密性：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泄漏率</w:t>
            </w:r>
            <w:r>
              <w:rPr>
                <w:rFonts w:hint="eastAsia"/>
                <w:sz w:val="24"/>
                <w:szCs w:val="24"/>
              </w:rPr>
              <w:t>≤3‰ h</w:t>
            </w:r>
            <w:r>
              <w:rPr>
                <w:rFonts w:hint="eastAsia"/>
                <w:sz w:val="24"/>
                <w:szCs w:val="24"/>
                <w:vertAlign w:val="superscript"/>
              </w:rPr>
              <w:t>-1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；配置反应器压力监测功能，可实时显示和记录反应器内部压力，测量范围应满足正常运行及气密性测试需要。</w:t>
            </w:r>
          </w:p>
          <w:p w14:paraId="3339AB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7.</w:t>
            </w:r>
            <w:r>
              <w:rPr>
                <w:rFonts w:hint="eastAsia"/>
                <w:sz w:val="24"/>
                <w:szCs w:val="24"/>
              </w:rPr>
              <w:t>反应器材料：反应器主体采用抛光石英玻璃材料，透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光</w:t>
            </w:r>
            <w:r>
              <w:rPr>
                <w:rFonts w:hint="eastAsia"/>
                <w:sz w:val="24"/>
                <w:szCs w:val="24"/>
              </w:rPr>
              <w:t>率≥90%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</w:p>
          <w:p w14:paraId="26F98B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8.</w:t>
            </w:r>
            <w:r>
              <w:rPr>
                <w:rFonts w:hint="eastAsia"/>
                <w:sz w:val="24"/>
                <w:szCs w:val="24"/>
              </w:rPr>
              <w:t>配气系统：1路液体进样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载气，最大流量</w:t>
            </w:r>
            <w:r>
              <w:rPr>
                <w:rFonts w:hint="eastAsia"/>
                <w:sz w:val="24"/>
                <w:szCs w:val="24"/>
              </w:rPr>
              <w:t>≥50L/min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  <w:r>
              <w:rPr>
                <w:rFonts w:hint="eastAsia"/>
                <w:sz w:val="24"/>
                <w:szCs w:val="24"/>
              </w:rPr>
              <w:t>1路零气进样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最大流量</w:t>
            </w:r>
            <w:r>
              <w:rPr>
                <w:rFonts w:hint="eastAsia"/>
                <w:sz w:val="24"/>
                <w:szCs w:val="24"/>
              </w:rPr>
              <w:t>≥50L/min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  <w:r>
              <w:rPr>
                <w:rFonts w:hint="eastAsia"/>
                <w:sz w:val="24"/>
                <w:szCs w:val="24"/>
              </w:rPr>
              <w:t>1路湿气进样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最大流量</w:t>
            </w:r>
            <w:r>
              <w:rPr>
                <w:rFonts w:hint="eastAsia"/>
                <w:sz w:val="24"/>
                <w:szCs w:val="24"/>
              </w:rPr>
              <w:t>≥50L/min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  <w:r>
              <w:rPr>
                <w:rFonts w:hint="eastAsia"/>
                <w:sz w:val="24"/>
                <w:szCs w:val="24"/>
              </w:rPr>
              <w:t>3路样气进样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最大流量</w:t>
            </w:r>
            <w:r>
              <w:rPr>
                <w:rFonts w:hint="eastAsia"/>
                <w:sz w:val="24"/>
                <w:szCs w:val="24"/>
              </w:rPr>
              <w:t>≥2L/min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/>
                <w:sz w:val="24"/>
                <w:szCs w:val="24"/>
              </w:rPr>
              <w:t>预留2路</w:t>
            </w:r>
            <w:r>
              <w:rPr>
                <w:rFonts w:hint="eastAsia"/>
                <w:sz w:val="24"/>
                <w:szCs w:val="24"/>
                <w:lang w:eastAsia="zh-CN"/>
              </w:rPr>
              <w:t>；</w:t>
            </w:r>
            <w:r>
              <w:rPr>
                <w:rFonts w:hint="eastAsia"/>
                <w:sz w:val="24"/>
                <w:szCs w:val="24"/>
              </w:rPr>
              <w:t>3路采样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气路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并</w:t>
            </w:r>
            <w:r>
              <w:rPr>
                <w:rFonts w:hint="eastAsia"/>
                <w:sz w:val="24"/>
                <w:szCs w:val="24"/>
              </w:rPr>
              <w:t>预留2路</w:t>
            </w:r>
            <w:r>
              <w:rPr>
                <w:rFonts w:hint="eastAsia"/>
                <w:sz w:val="24"/>
                <w:szCs w:val="24"/>
                <w:lang w:eastAsia="zh-CN"/>
              </w:rPr>
              <w:t>。各气路采用质量流量控制器进行控制，各质量流量控制器量程应与相应气路实际工作流量相匹配，并保证常用工作流量处于其有效控制范围内，控制误差不超过</w:t>
            </w:r>
            <w:r>
              <w:rPr>
                <w:rFonts w:hint="eastAsia"/>
                <w:sz w:val="24"/>
                <w:szCs w:val="24"/>
              </w:rPr>
              <w:t>±1% F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/>
                <w:sz w:val="24"/>
                <w:szCs w:val="24"/>
                <w:lang w:eastAsia="zh-CN"/>
              </w:rPr>
              <w:t>，并可通过集成控制系统完成流量设定、实时显示和记录。</w:t>
            </w:r>
          </w:p>
          <w:p w14:paraId="176D41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9.</w:t>
            </w:r>
            <w:r>
              <w:rPr>
                <w:rFonts w:hint="eastAsia"/>
                <w:sz w:val="24"/>
                <w:szCs w:val="24"/>
              </w:rPr>
              <w:t>数据集成控制器：触摸式液晶显示集中控制，温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度、</w:t>
            </w:r>
            <w:r>
              <w:rPr>
                <w:rFonts w:hint="eastAsia"/>
                <w:sz w:val="24"/>
                <w:szCs w:val="24"/>
              </w:rPr>
              <w:t>湿度、流量、压力、光源等数据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均可</w:t>
            </w:r>
            <w:r>
              <w:rPr>
                <w:rFonts w:hint="eastAsia"/>
                <w:sz w:val="24"/>
                <w:szCs w:val="24"/>
              </w:rPr>
              <w:t>采集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/>
                <w:sz w:val="24"/>
                <w:szCs w:val="24"/>
              </w:rPr>
              <w:t>储存</w:t>
            </w:r>
            <w:r>
              <w:rPr>
                <w:rFonts w:hint="eastAsia"/>
                <w:sz w:val="24"/>
                <w:szCs w:val="24"/>
                <w:lang w:eastAsia="zh-CN"/>
              </w:rPr>
              <w:t>，实验数据应能够以通用数据格式导出，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显示屏可以实时查看</w:t>
            </w:r>
            <w:r>
              <w:rPr>
                <w:rFonts w:hint="eastAsia"/>
                <w:sz w:val="24"/>
                <w:szCs w:val="24"/>
              </w:rPr>
              <w:t>曲线图，并保存历史数据备日后进行查询，支持远程控制</w:t>
            </w:r>
            <w:r>
              <w:rPr>
                <w:rFonts w:hint="eastAsia"/>
                <w:sz w:val="24"/>
                <w:szCs w:val="24"/>
                <w:lang w:eastAsia="zh-CN"/>
              </w:rPr>
              <w:t>。</w:t>
            </w:r>
          </w:p>
          <w:p w14:paraId="7EACC8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10.反应器应具有气体混合功能，通过内部循环、搅拌或其他合理方式促进反应器内气体均匀混合，混合装置不得明显影响光化学实验及气密性。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90日内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475A5B3B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合同签订后付款合同额的50%，烟雾箱主体（控温舱体，控温模块，精准配气系统）完成具备温控和光源辐照条件时，再支付合同额的30%，最终送至客户指定场地验收合格后支付剩余尾款。</w:t>
            </w:r>
          </w:p>
          <w:p w14:paraId="25554F0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</w:p>
          <w:p w14:paraId="52B349E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合同签订后付款合同额的50%，烟雾箱主体（控温舱体，控温模块，精准配气系统）完成具备温控和光源辐照条件时，再支付合同额的30%，最终送至客户指定场地验收合格后支付剩余尾款。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宋体" w:hAnsi="宋体"/>
                <w:b/>
                <w:sz w:val="24"/>
                <w:szCs w:val="24"/>
              </w:rPr>
              <w:t>阶段</w:t>
            </w:r>
            <w:r>
              <w:rPr>
                <w:rFonts w:ascii="宋体" w:hAnsi="宋体"/>
                <w:b/>
                <w:sz w:val="24"/>
                <w:szCs w:val="24"/>
              </w:rPr>
              <w:t>性检查要求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</w:p>
          <w:p w14:paraId="7A3D7D68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第一阶段：烟雾箱主体（控温舱体，控温模块，精准配气系统）完成具备温控和光源辐照条件时，通过视频与照片方式进行检查；</w:t>
            </w:r>
          </w:p>
          <w:p w14:paraId="525C423F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第二阶段：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烟雾箱反应器、集成控制系统、整机装配完成，通过视频与照片方式进行检查。</w:t>
            </w:r>
          </w:p>
          <w:p w14:paraId="6BF551B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</w:p>
          <w:p w14:paraId="3895A63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供货</w:t>
            </w:r>
            <w:r>
              <w:rPr>
                <w:sz w:val="24"/>
                <w:szCs w:val="24"/>
              </w:rPr>
              <w:t>方对货物及其随机配件提供   1   年的质量保证期。</w:t>
            </w:r>
            <w:bookmarkStart w:id="0" w:name="OLE_LINK1"/>
            <w:bookmarkStart w:id="1" w:name="OLE_LINK2"/>
            <w:r>
              <w:rPr>
                <w:rFonts w:hint="eastAsia"/>
                <w:sz w:val="24"/>
                <w:szCs w:val="24"/>
              </w:rPr>
              <w:t>供货</w:t>
            </w:r>
            <w:r>
              <w:rPr>
                <w:sz w:val="24"/>
                <w:szCs w:val="24"/>
              </w:rPr>
              <w:t>方应在收到</w:t>
            </w:r>
            <w:r>
              <w:rPr>
                <w:rFonts w:hint="eastAsia"/>
                <w:sz w:val="24"/>
                <w:szCs w:val="24"/>
              </w:rPr>
              <w:t>采购</w:t>
            </w:r>
            <w:r>
              <w:rPr>
                <w:sz w:val="24"/>
                <w:szCs w:val="24"/>
              </w:rPr>
              <w:t>方</w:t>
            </w:r>
            <w:r>
              <w:rPr>
                <w:rFonts w:hint="eastAsia"/>
                <w:sz w:val="24"/>
                <w:szCs w:val="24"/>
              </w:rPr>
              <w:t>电话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邮件、微信之日起</w:t>
            </w:r>
            <w:r>
              <w:rPr>
                <w:sz w:val="24"/>
                <w:szCs w:val="24"/>
              </w:rPr>
              <w:t>  1   个工作日内免费上门维修或更换不符或有缺陷的货物或部件。</w:t>
            </w:r>
          </w:p>
          <w:bookmarkEnd w:id="0"/>
          <w:bookmarkEnd w:id="1"/>
          <w:p w14:paraId="1C82DC8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在质量保证期内，如货物出现质量问题、数量不足、故障、缺陷的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t>由</w:t>
            </w:r>
            <w:r>
              <w:rPr>
                <w:rFonts w:hint="eastAsia"/>
                <w:sz w:val="24"/>
                <w:szCs w:val="24"/>
              </w:rPr>
              <w:t>供货</w:t>
            </w:r>
            <w:r>
              <w:rPr>
                <w:sz w:val="24"/>
                <w:szCs w:val="24"/>
              </w:rPr>
              <w:t>方负责按照</w:t>
            </w:r>
            <w:r>
              <w:rPr>
                <w:rFonts w:hint="eastAsia"/>
                <w:sz w:val="24"/>
                <w:szCs w:val="24"/>
              </w:rPr>
              <w:t>采购</w:t>
            </w:r>
            <w:r>
              <w:rPr>
                <w:sz w:val="24"/>
                <w:szCs w:val="24"/>
              </w:rPr>
              <w:t>方的要求在限定的时间内包修、包换或者包退，并承担修理、调换或退货所发生</w:t>
            </w:r>
            <w:r>
              <w:rPr>
                <w:rFonts w:hint="eastAsia"/>
                <w:sz w:val="24"/>
                <w:szCs w:val="24"/>
              </w:rPr>
              <w:t>费用</w:t>
            </w:r>
            <w:r>
              <w:rPr>
                <w:sz w:val="24"/>
                <w:szCs w:val="24"/>
              </w:rPr>
              <w:t>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238268F"/>
    <w:rsid w:val="04EF6C24"/>
    <w:rsid w:val="0FAA3CAE"/>
    <w:rsid w:val="2D8C5ECA"/>
    <w:rsid w:val="38C84348"/>
    <w:rsid w:val="3FBA1C74"/>
    <w:rsid w:val="60854C98"/>
    <w:rsid w:val="775B2652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729</Words>
  <Characters>817</Characters>
  <Lines>0</Lines>
  <Paragraphs>0</Paragraphs>
  <TotalTime>0</TotalTime>
  <ScaleCrop>false</ScaleCrop>
  <LinksUpToDate>false</LinksUpToDate>
  <CharactersWithSpaces>840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2026-09-29T03:40:22Z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9B22F3B3C6924B5882346897532379CA_13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