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9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bookmarkStart w:id="2" w:name="_GoBack"/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eastAsia="zh-CN"/>
              </w:rPr>
              <w:t>电化学工作站</w:t>
            </w:r>
            <w:bookmarkEnd w:id="2"/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45E39A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数量：1台</w:t>
            </w:r>
          </w:p>
          <w:tbl>
            <w:tblPr>
              <w:tblStyle w:val="5"/>
              <w:tblW w:w="520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44"/>
              <w:gridCol w:w="2956"/>
            </w:tblGrid>
            <w:tr w14:paraId="0DE93B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5200" w:type="dxa"/>
                  <w:gridSpan w:val="2"/>
                  <w:vAlign w:val="center"/>
                </w:tcPr>
                <w:p w14:paraId="5B223CC9">
                  <w:pPr>
                    <w:tabs>
                      <w:tab w:val="left" w:pos="6915"/>
                    </w:tabs>
                    <w:jc w:val="center"/>
                    <w:rPr>
                      <w:b w:val="0"/>
                      <w:bCs/>
                      <w:szCs w:val="21"/>
                    </w:rPr>
                  </w:pPr>
                  <w:r>
                    <w:rPr>
                      <w:b w:val="0"/>
                      <w:bCs/>
                      <w:szCs w:val="21"/>
                    </w:rPr>
                    <w:t>技术参数</w:t>
                  </w:r>
                </w:p>
              </w:tc>
            </w:tr>
            <w:tr w14:paraId="3E959F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4616E823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通道数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40E3B86A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</w:pPr>
                  <w:bookmarkStart w:id="0" w:name="OLE_LINK1"/>
                  <w:r>
                    <w:rPr>
                      <w:rFonts w:asciiTheme="majorEastAsia" w:hAnsiTheme="majorEastAsia" w:eastAsiaTheme="majorEastAsia"/>
                      <w:b w:val="0"/>
                      <w:bCs/>
                    </w:rPr>
                    <w:t>≥</w:t>
                  </w:r>
                  <w:bookmarkEnd w:id="0"/>
                  <w:r>
                    <w:rPr>
                      <w:rFonts w:asciiTheme="majorEastAsia" w:hAnsiTheme="majorEastAsia" w:eastAsiaTheme="majorEastAsia"/>
                      <w:b w:val="0"/>
                      <w:bCs/>
                    </w:rPr>
                    <w:t>1个独立通道</w:t>
                  </w:r>
                </w:p>
              </w:tc>
            </w:tr>
            <w:tr w14:paraId="71722E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6C8A7CCE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槽压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0E92B4B9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</w:pPr>
                  <w:r>
                    <w:rPr>
                      <w:rFonts w:asciiTheme="majorEastAsia" w:hAnsiTheme="majorEastAsia" w:eastAsiaTheme="majorEastAsia"/>
                      <w:b w:val="0"/>
                      <w:bCs/>
                    </w:rPr>
                    <w:t>≥</w:t>
                  </w: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±15V</w:t>
                  </w:r>
                </w:p>
              </w:tc>
            </w:tr>
            <w:tr w14:paraId="337F9E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03932D54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施加/测量电位范围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5B37D161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</w:pPr>
                  <w:bookmarkStart w:id="1" w:name="OLE_LINK2"/>
                  <w:r>
                    <w:rPr>
                      <w:rFonts w:asciiTheme="majorEastAsia" w:hAnsiTheme="majorEastAsia" w:eastAsiaTheme="majorEastAsia"/>
                      <w:b w:val="0"/>
                      <w:bCs/>
                    </w:rPr>
                    <w:t>≥</w:t>
                  </w:r>
                  <w:bookmarkEnd w:id="1"/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±10V</w:t>
                  </w:r>
                </w:p>
              </w:tc>
            </w:tr>
            <w:tr w14:paraId="677E93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240C75F8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施加/测量</w:t>
                  </w: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电位精度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54F5AE91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 w:val="0"/>
                      <w:bCs/>
                    </w:rPr>
                    <w:t>满量程读数的0.1%±1mV</w:t>
                  </w:r>
                </w:p>
              </w:tc>
            </w:tr>
            <w:tr w14:paraId="75747B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68B9F1DC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施加/测量电流范围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72ABB174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 w:val="0"/>
                      <w:bCs/>
                    </w:rPr>
                    <w:t>≥</w:t>
                  </w: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±2A</w:t>
                  </w:r>
                </w:p>
              </w:tc>
            </w:tr>
            <w:tr w14:paraId="5834AD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51222BF9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测量电流精度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6821BF18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 w:val="0"/>
                      <w:bCs/>
                    </w:rPr>
                    <w:t>满量程读数的0.1%±1</w:t>
                  </w: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</w:rPr>
                    <w:t>pA</w:t>
                  </w:r>
                </w:p>
              </w:tc>
            </w:tr>
            <w:tr w14:paraId="4E7577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72FF574A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输入阻抗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68EA3012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≥10</w:t>
                  </w: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  <w:vertAlign w:val="superscript"/>
                    </w:rPr>
                    <w:t>12</w:t>
                  </w: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Ω</w:t>
                  </w:r>
                </w:p>
              </w:tc>
            </w:tr>
            <w:tr w14:paraId="0BB399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684CD7BD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漏电流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008B10C3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≤1pA</w:t>
                  </w:r>
                </w:p>
              </w:tc>
            </w:tr>
            <w:tr w14:paraId="331434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3C4ADB7E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 w:val="0"/>
                      <w:bCs/>
                      <w:szCs w:val="21"/>
                    </w:rPr>
                    <w:t>阻抗频率范围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1AA5644C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10μHZ-10MHZ</w:t>
                  </w:r>
                </w:p>
              </w:tc>
            </w:tr>
            <w:tr w14:paraId="47FB6D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1" w:hRule="atLeast"/>
                <w:jc w:val="center"/>
              </w:trPr>
              <w:tc>
                <w:tcPr>
                  <w:tcW w:w="2244" w:type="dxa"/>
                  <w:vAlign w:val="center"/>
                </w:tcPr>
                <w:p w14:paraId="1A992D35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软件接口</w:t>
                  </w:r>
                </w:p>
              </w:tc>
              <w:tc>
                <w:tcPr>
                  <w:tcW w:w="2956" w:type="dxa"/>
                  <w:noWrap/>
                  <w:vAlign w:val="bottom"/>
                </w:tcPr>
                <w:p w14:paraId="5637A9F0">
                  <w:pPr>
                    <w:tabs>
                      <w:tab w:val="left" w:pos="6915"/>
                    </w:tabs>
                    <w:jc w:val="center"/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 w:val="0"/>
                      <w:bCs/>
                      <w:szCs w:val="21"/>
                    </w:rPr>
                    <w:t>具备二次开发</w:t>
                  </w:r>
                  <w:r>
                    <w:rPr>
                      <w:rFonts w:hint="eastAsia" w:asciiTheme="majorEastAsia" w:hAnsiTheme="majorEastAsia" w:eastAsiaTheme="majorEastAsia"/>
                      <w:b w:val="0"/>
                      <w:bCs/>
                      <w:szCs w:val="21"/>
                    </w:rPr>
                    <w:t>功能</w:t>
                  </w:r>
                </w:p>
              </w:tc>
            </w:tr>
          </w:tbl>
          <w:p w14:paraId="75A1C81B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C6085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签订合同后两周内。</w:t>
            </w:r>
          </w:p>
          <w:p w14:paraId="5F9876D6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货到验收后，一次性结清。</w:t>
            </w:r>
          </w:p>
          <w:p w14:paraId="0E9D2FA4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提供出厂测试报告。</w:t>
            </w:r>
          </w:p>
          <w:p w14:paraId="0FE31C98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提供至少1年的免费保修，包含人工、维修及零件等费用。在保修期内，供货商需要及时提供维修服务，包括产品的正常检修、维护等。保修期自验收签字之日算起，保修期内因质量问题而导致设备停用的时间从保修期中扣除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11E776AB"/>
    <w:rsid w:val="2D070EC5"/>
    <w:rsid w:val="41882F8E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351</Words>
  <Characters>382</Characters>
  <Lines>4</Lines>
  <Paragraphs>1</Paragraphs>
  <TotalTime>0</TotalTime>
  <ScaleCrop>false</ScaleCrop>
  <LinksUpToDate>false</LinksUpToDate>
  <CharactersWithSpaces>411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2026-10-20T09:59:16Z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