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C9955E">
      <w:pPr>
        <w:jc w:val="center"/>
        <w:rPr>
          <w:sz w:val="36"/>
        </w:rPr>
      </w:pPr>
      <w:r>
        <w:rPr>
          <w:sz w:val="36"/>
        </w:rPr>
        <w:t>中国科学技术大学国家同步辐射实验室</w:t>
      </w:r>
    </w:p>
    <w:p w14:paraId="0973E65B">
      <w:pPr>
        <w:jc w:val="center"/>
        <w:rPr>
          <w:sz w:val="36"/>
        </w:rPr>
      </w:pPr>
      <w:r>
        <w:rPr>
          <w:rFonts w:hint="eastAsia"/>
          <w:sz w:val="36"/>
        </w:rPr>
        <w:t>技术指标供应商确认表</w:t>
      </w:r>
    </w:p>
    <w:p w14:paraId="3E58F52B"/>
    <w:tbl>
      <w:tblPr>
        <w:tblStyle w:val="6"/>
        <w:tblW w:w="10098"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143"/>
        <w:gridCol w:w="5743"/>
        <w:gridCol w:w="1464"/>
        <w:gridCol w:w="1023"/>
      </w:tblGrid>
      <w:tr w14:paraId="3979F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725" w:type="dxa"/>
            <w:vAlign w:val="center"/>
          </w:tcPr>
          <w:p w14:paraId="75C250BA">
            <w:pPr>
              <w:spacing w:line="240" w:lineRule="atLeast"/>
              <w:jc w:val="center"/>
              <w:rPr>
                <w:sz w:val="22"/>
              </w:rPr>
            </w:pPr>
            <w:r>
              <w:rPr>
                <w:rFonts w:hint="eastAsia"/>
                <w:sz w:val="22"/>
              </w:rPr>
              <w:t>序号</w:t>
            </w:r>
          </w:p>
        </w:tc>
        <w:tc>
          <w:tcPr>
            <w:tcW w:w="1143" w:type="dxa"/>
            <w:vAlign w:val="center"/>
          </w:tcPr>
          <w:p w14:paraId="3A9FF52B">
            <w:pPr>
              <w:spacing w:line="240" w:lineRule="atLeast"/>
              <w:jc w:val="center"/>
              <w:rPr>
                <w:sz w:val="22"/>
              </w:rPr>
            </w:pPr>
            <w:r>
              <w:rPr>
                <w:rFonts w:hint="eastAsia"/>
                <w:sz w:val="22"/>
              </w:rPr>
              <w:t>名称</w:t>
            </w:r>
          </w:p>
        </w:tc>
        <w:tc>
          <w:tcPr>
            <w:tcW w:w="5743" w:type="dxa"/>
            <w:vAlign w:val="center"/>
          </w:tcPr>
          <w:p w14:paraId="258D475E">
            <w:pPr>
              <w:spacing w:line="240" w:lineRule="atLeast"/>
              <w:jc w:val="center"/>
              <w:rPr>
                <w:sz w:val="22"/>
              </w:rPr>
            </w:pPr>
            <w:r>
              <w:rPr>
                <w:rFonts w:hint="eastAsia"/>
                <w:sz w:val="22"/>
              </w:rPr>
              <w:t>技术指标</w:t>
            </w:r>
          </w:p>
        </w:tc>
        <w:tc>
          <w:tcPr>
            <w:tcW w:w="1464" w:type="dxa"/>
            <w:vAlign w:val="center"/>
          </w:tcPr>
          <w:p w14:paraId="37F7A556">
            <w:pPr>
              <w:spacing w:line="240" w:lineRule="atLeast"/>
              <w:jc w:val="center"/>
              <w:rPr>
                <w:szCs w:val="21"/>
              </w:rPr>
            </w:pPr>
            <w:r>
              <w:rPr>
                <w:rFonts w:hint="eastAsia"/>
                <w:szCs w:val="21"/>
              </w:rPr>
              <w:t>偏离说明</w:t>
            </w:r>
          </w:p>
          <w:p w14:paraId="328E92F5">
            <w:pPr>
              <w:spacing w:line="240" w:lineRule="atLeast"/>
              <w:jc w:val="center"/>
              <w:rPr>
                <w:sz w:val="24"/>
              </w:rPr>
            </w:pPr>
            <w:r>
              <w:rPr>
                <w:rFonts w:hint="eastAsia"/>
                <w:szCs w:val="21"/>
              </w:rPr>
              <w:t>(</w:t>
            </w:r>
            <w:r>
              <w:rPr>
                <w:szCs w:val="21"/>
              </w:rPr>
              <w:t>无偏离</w:t>
            </w:r>
            <w:r>
              <w:rPr>
                <w:rFonts w:hint="eastAsia"/>
                <w:szCs w:val="21"/>
              </w:rPr>
              <w:t>/</w:t>
            </w:r>
            <w:r>
              <w:rPr>
                <w:szCs w:val="21"/>
              </w:rPr>
              <w:t>正偏离</w:t>
            </w:r>
            <w:r>
              <w:rPr>
                <w:rFonts w:hint="eastAsia"/>
                <w:szCs w:val="21"/>
              </w:rPr>
              <w:t>/</w:t>
            </w:r>
            <w:r>
              <w:rPr>
                <w:szCs w:val="21"/>
              </w:rPr>
              <w:t>负偏离</w:t>
            </w:r>
            <w:r>
              <w:rPr>
                <w:rFonts w:hint="eastAsia"/>
                <w:szCs w:val="21"/>
              </w:rPr>
              <w:t>)</w:t>
            </w:r>
          </w:p>
        </w:tc>
        <w:tc>
          <w:tcPr>
            <w:tcW w:w="1023" w:type="dxa"/>
            <w:vAlign w:val="center"/>
          </w:tcPr>
          <w:p w14:paraId="22A89C1E">
            <w:pPr>
              <w:spacing w:line="240" w:lineRule="atLeast"/>
              <w:jc w:val="center"/>
              <w:rPr>
                <w:sz w:val="24"/>
              </w:rPr>
            </w:pPr>
            <w:r>
              <w:rPr>
                <w:rFonts w:hint="eastAsia"/>
                <w:sz w:val="22"/>
              </w:rPr>
              <w:t>偏离值</w:t>
            </w:r>
          </w:p>
        </w:tc>
      </w:tr>
      <w:tr w14:paraId="39438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725" w:type="dxa"/>
            <w:vAlign w:val="center"/>
          </w:tcPr>
          <w:p w14:paraId="185CA09D">
            <w:pPr>
              <w:spacing w:line="240" w:lineRule="atLeast"/>
              <w:jc w:val="center"/>
            </w:pPr>
            <w:r>
              <w:rPr>
                <w:rFonts w:hint="eastAsia"/>
              </w:rPr>
              <w:t>1</w:t>
            </w:r>
          </w:p>
        </w:tc>
        <w:tc>
          <w:tcPr>
            <w:tcW w:w="1143" w:type="dxa"/>
            <w:tcBorders>
              <w:bottom w:val="single" w:color="auto" w:sz="4" w:space="0"/>
            </w:tcBorders>
            <w:shd w:val="clear" w:color="auto" w:fill="auto"/>
            <w:vAlign w:val="center"/>
          </w:tcPr>
          <w:p w14:paraId="7E88FD24">
            <w:pPr>
              <w:widowControl/>
              <w:spacing w:line="240" w:lineRule="atLeast"/>
              <w:jc w:val="center"/>
              <w:rPr>
                <w:rFonts w:ascii="Times New Roman" w:hAnsi="Times New Roman" w:eastAsia="宋体" w:cs="Times New Roman"/>
                <w:szCs w:val="24"/>
              </w:rPr>
            </w:pPr>
            <w:r>
              <w:rPr>
                <w:rFonts w:hint="eastAsia" w:ascii="Times New Roman" w:hAnsi="Times New Roman" w:eastAsia="宋体" w:cs="Times New Roman"/>
                <w:b w:val="0"/>
                <w:bCs w:val="0"/>
                <w:kern w:val="2"/>
                <w:sz w:val="24"/>
                <w:szCs w:val="24"/>
                <w:lang w:val="en-US" w:eastAsia="zh-CN" w:bidi="ar"/>
              </w:rPr>
              <w:t>组装式万级洁净棚屋</w:t>
            </w:r>
          </w:p>
        </w:tc>
        <w:tc>
          <w:tcPr>
            <w:tcW w:w="5743" w:type="dxa"/>
            <w:tcBorders>
              <w:bottom w:val="single" w:color="auto" w:sz="4" w:space="0"/>
            </w:tcBorders>
            <w:shd w:val="clear" w:color="auto" w:fill="auto"/>
            <w:vAlign w:val="center"/>
          </w:tcPr>
          <w:p w14:paraId="7E9F99EB">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bookmarkStart w:id="0" w:name="_GoBack"/>
            <w:bookmarkEnd w:id="0"/>
            <w:r>
              <w:rPr>
                <w:rFonts w:hint="eastAsia" w:ascii="Calibri" w:hAnsi="Calibri" w:eastAsia="宋体" w:cs="宋体"/>
                <w:kern w:val="2"/>
                <w:sz w:val="22"/>
                <w:szCs w:val="21"/>
                <w:bdr w:val="none" w:color="auto" w:sz="0" w:space="0"/>
                <w:lang w:val="en-US" w:eastAsia="zh-CN" w:bidi="ar"/>
              </w:rPr>
              <w:t>组装式万级洁净棚屋：</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套</w:t>
            </w:r>
          </w:p>
          <w:p w14:paraId="501B9B65">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一、面积、结构要求</w:t>
            </w:r>
            <w:r>
              <w:rPr>
                <w:rFonts w:hint="default" w:ascii="Calibri" w:hAnsi="Calibri" w:eastAsia="宋体" w:cs="Times New Roman"/>
                <w:kern w:val="2"/>
                <w:sz w:val="22"/>
                <w:szCs w:val="21"/>
                <w:bdr w:val="none" w:color="auto" w:sz="0" w:space="0"/>
                <w:lang w:val="en-US" w:eastAsia="zh-CN" w:bidi="ar"/>
              </w:rPr>
              <w:t xml:space="preserve"> </w:t>
            </w:r>
          </w:p>
          <w:p w14:paraId="0EA27CE0">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）外形尺寸：</w:t>
            </w:r>
            <w:r>
              <w:rPr>
                <w:rFonts w:hint="default" w:ascii="Calibri" w:hAnsi="Calibri" w:eastAsia="宋体" w:cs="Times New Roman"/>
                <w:kern w:val="2"/>
                <w:sz w:val="22"/>
                <w:szCs w:val="21"/>
                <w:bdr w:val="none" w:color="auto" w:sz="0" w:space="0"/>
                <w:lang w:val="en-US" w:eastAsia="zh-CN" w:bidi="ar"/>
              </w:rPr>
              <w:t>L17</w:t>
            </w:r>
            <w:r>
              <w:rPr>
                <w:rFonts w:hint="eastAsia" w:ascii="Calibri" w:hAnsi="Calibri" w:eastAsia="宋体" w:cs="宋体"/>
                <w:kern w:val="2"/>
                <w:sz w:val="22"/>
                <w:szCs w:val="21"/>
                <w:bdr w:val="none" w:color="auto" w:sz="0" w:space="0"/>
                <w:lang w:val="en-US" w:eastAsia="zh-CN" w:bidi="ar"/>
              </w:rPr>
              <w:t>米</w:t>
            </w:r>
            <w:r>
              <w:rPr>
                <w:rFonts w:hint="default" w:ascii="Calibri" w:hAnsi="Calibri" w:eastAsia="宋体" w:cs="Times New Roman"/>
                <w:kern w:val="2"/>
                <w:sz w:val="22"/>
                <w:szCs w:val="21"/>
                <w:bdr w:val="none" w:color="auto" w:sz="0" w:space="0"/>
                <w:lang w:val="en-US" w:eastAsia="zh-CN" w:bidi="ar"/>
              </w:rPr>
              <w:t>*W10</w:t>
            </w:r>
            <w:r>
              <w:rPr>
                <w:rFonts w:hint="eastAsia" w:ascii="Calibri" w:hAnsi="Calibri" w:eastAsia="宋体" w:cs="宋体"/>
                <w:kern w:val="2"/>
                <w:sz w:val="22"/>
                <w:szCs w:val="21"/>
                <w:bdr w:val="none" w:color="auto" w:sz="0" w:space="0"/>
                <w:lang w:val="en-US" w:eastAsia="zh-CN" w:bidi="ar"/>
              </w:rPr>
              <w:t>米</w:t>
            </w:r>
            <w:r>
              <w:rPr>
                <w:rFonts w:hint="default" w:ascii="Calibri" w:hAnsi="Calibri" w:eastAsia="宋体" w:cs="Times New Roman"/>
                <w:kern w:val="2"/>
                <w:sz w:val="22"/>
                <w:szCs w:val="21"/>
                <w:bdr w:val="none" w:color="auto" w:sz="0" w:space="0"/>
                <w:lang w:val="en-US" w:eastAsia="zh-CN" w:bidi="ar"/>
              </w:rPr>
              <w:t>*H4.2</w:t>
            </w:r>
            <w:r>
              <w:rPr>
                <w:rFonts w:hint="eastAsia" w:ascii="Calibri" w:hAnsi="Calibri" w:eastAsia="宋体" w:cs="宋体"/>
                <w:kern w:val="2"/>
                <w:sz w:val="22"/>
                <w:szCs w:val="21"/>
                <w:bdr w:val="none" w:color="auto" w:sz="0" w:space="0"/>
                <w:lang w:val="en-US" w:eastAsia="zh-CN" w:bidi="ar"/>
              </w:rPr>
              <w:t>米（内净高不低于</w:t>
            </w:r>
            <w:r>
              <w:rPr>
                <w:rFonts w:hint="default" w:ascii="Calibri" w:hAnsi="Calibri" w:eastAsia="宋体" w:cs="Times New Roman"/>
                <w:kern w:val="2"/>
                <w:sz w:val="22"/>
                <w:szCs w:val="21"/>
                <w:bdr w:val="none" w:color="auto" w:sz="0" w:space="0"/>
                <w:lang w:val="en-US" w:eastAsia="zh-CN" w:bidi="ar"/>
              </w:rPr>
              <w:t>3.8</w:t>
            </w:r>
            <w:r>
              <w:rPr>
                <w:rFonts w:hint="eastAsia" w:ascii="Calibri" w:hAnsi="Calibri" w:eastAsia="宋体" w:cs="宋体"/>
                <w:kern w:val="2"/>
                <w:sz w:val="22"/>
                <w:szCs w:val="21"/>
                <w:bdr w:val="none" w:color="auto" w:sz="0" w:space="0"/>
                <w:lang w:val="en-US" w:eastAsia="zh-CN" w:bidi="ar"/>
              </w:rPr>
              <w:t>米），包含更衣区（需配置不少于</w:t>
            </w:r>
            <w:r>
              <w:rPr>
                <w:rFonts w:hint="default" w:ascii="Calibri" w:hAnsi="Calibri" w:eastAsia="宋体" w:cs="Times New Roman"/>
                <w:kern w:val="2"/>
                <w:sz w:val="22"/>
                <w:szCs w:val="21"/>
                <w:bdr w:val="none" w:color="auto" w:sz="0" w:space="0"/>
                <w:lang w:val="en-US" w:eastAsia="zh-CN" w:bidi="ar"/>
              </w:rPr>
              <w:t>10</w:t>
            </w:r>
            <w:r>
              <w:rPr>
                <w:rFonts w:hint="eastAsia" w:ascii="Calibri" w:hAnsi="Calibri" w:eastAsia="宋体" w:cs="宋体"/>
                <w:kern w:val="2"/>
                <w:sz w:val="22"/>
                <w:szCs w:val="21"/>
                <w:bdr w:val="none" w:color="auto" w:sz="0" w:space="0"/>
                <w:lang w:val="en-US" w:eastAsia="zh-CN" w:bidi="ar"/>
              </w:rPr>
              <w:t>人使用的自净型洁净衣柜、鞋柜，并均采用嵌入式安装方式，保持整体美观，协调）、一体式双人双吹型内</w:t>
            </w:r>
            <w:r>
              <w:rPr>
                <w:rFonts w:hint="default" w:ascii="Calibri" w:hAnsi="Calibri" w:eastAsia="宋体" w:cs="Times New Roman"/>
                <w:kern w:val="2"/>
                <w:sz w:val="22"/>
                <w:szCs w:val="21"/>
                <w:bdr w:val="none" w:color="auto" w:sz="0" w:space="0"/>
                <w:lang w:val="en-US" w:eastAsia="zh-CN" w:bidi="ar"/>
              </w:rPr>
              <w:t>SUS304</w:t>
            </w:r>
            <w:r>
              <w:rPr>
                <w:rFonts w:hint="eastAsia" w:ascii="Calibri" w:hAnsi="Calibri" w:eastAsia="宋体" w:cs="宋体"/>
                <w:kern w:val="2"/>
                <w:sz w:val="22"/>
                <w:szCs w:val="21"/>
                <w:bdr w:val="none" w:color="auto" w:sz="0" w:space="0"/>
                <w:lang w:val="en-US" w:eastAsia="zh-CN" w:bidi="ar"/>
              </w:rPr>
              <w:t>不锈钢风淋室，外壁颜色与洁净室同色，以保证颜色协调统一；风淋室高频使用的原件，如闭门器、电插锁等应选用进口品牌优质原件，以保证高频使用亦能稳定运行；工作区域内须设有独立的物料传递窗。</w:t>
            </w:r>
          </w:p>
          <w:p w14:paraId="57FE9891">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2</w:t>
            </w:r>
            <w:r>
              <w:rPr>
                <w:rFonts w:hint="eastAsia" w:ascii="Calibri" w:hAnsi="Calibri" w:eastAsia="宋体" w:cs="宋体"/>
                <w:kern w:val="2"/>
                <w:sz w:val="22"/>
                <w:szCs w:val="21"/>
                <w:bdr w:val="none" w:color="auto" w:sz="0" w:space="0"/>
                <w:lang w:val="en-US" w:eastAsia="zh-CN" w:bidi="ar"/>
              </w:rPr>
              <w:t>）结构：框架方通架构，整体笼式结构，顶部不可吊丝杆，采用自吊梁结构，不可突出墙面，保持整体美观，不突出。</w:t>
            </w:r>
          </w:p>
          <w:p w14:paraId="56950517">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3</w:t>
            </w:r>
            <w:r>
              <w:rPr>
                <w:rFonts w:hint="eastAsia" w:ascii="Calibri" w:hAnsi="Calibri" w:eastAsia="宋体" w:cs="宋体"/>
                <w:kern w:val="2"/>
                <w:sz w:val="22"/>
                <w:szCs w:val="21"/>
                <w:bdr w:val="none" w:color="auto" w:sz="0" w:space="0"/>
                <w:lang w:val="en-US" w:eastAsia="zh-CN" w:bidi="ar"/>
              </w:rPr>
              <w:t>）四周围挡：岩棉手工彩钢板结合大幅双层中空玻璃墙面。</w:t>
            </w:r>
          </w:p>
          <w:p w14:paraId="0D509BB8">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4</w:t>
            </w:r>
            <w:r>
              <w:rPr>
                <w:rFonts w:hint="eastAsia" w:ascii="Calibri" w:hAnsi="Calibri" w:eastAsia="宋体" w:cs="宋体"/>
                <w:kern w:val="2"/>
                <w:sz w:val="22"/>
                <w:szCs w:val="21"/>
                <w:bdr w:val="none" w:color="auto" w:sz="0" w:space="0"/>
                <w:lang w:val="en-US" w:eastAsia="zh-CN" w:bidi="ar"/>
              </w:rPr>
              <w:t>）设备进出门不少于</w:t>
            </w:r>
            <w:r>
              <w:rPr>
                <w:rFonts w:hint="default" w:ascii="Calibri" w:hAnsi="Calibri" w:eastAsia="宋体" w:cs="Times New Roman"/>
                <w:kern w:val="2"/>
                <w:sz w:val="22"/>
                <w:szCs w:val="21"/>
                <w:bdr w:val="none" w:color="auto" w:sz="0" w:space="0"/>
                <w:lang w:val="en-US" w:eastAsia="zh-CN" w:bidi="ar"/>
              </w:rPr>
              <w:t>3</w:t>
            </w:r>
            <w:r>
              <w:rPr>
                <w:rFonts w:hint="eastAsia" w:ascii="Calibri" w:hAnsi="Calibri" w:eastAsia="宋体" w:cs="宋体"/>
                <w:kern w:val="2"/>
                <w:sz w:val="22"/>
                <w:szCs w:val="21"/>
                <w:bdr w:val="none" w:color="auto" w:sz="0" w:space="0"/>
                <w:lang w:val="en-US" w:eastAsia="zh-CN" w:bidi="ar"/>
              </w:rPr>
              <w:t>樘（</w:t>
            </w:r>
            <w:r>
              <w:rPr>
                <w:rFonts w:hint="default" w:ascii="Calibri" w:hAnsi="Calibri" w:eastAsia="宋体" w:cs="Times New Roman"/>
                <w:kern w:val="2"/>
                <w:sz w:val="22"/>
                <w:szCs w:val="21"/>
                <w:bdr w:val="none" w:color="auto" w:sz="0" w:space="0"/>
                <w:lang w:val="en-US" w:eastAsia="zh-CN" w:bidi="ar"/>
              </w:rPr>
              <w:t>3</w:t>
            </w:r>
            <w:r>
              <w:rPr>
                <w:rFonts w:hint="eastAsia" w:ascii="Calibri" w:hAnsi="Calibri" w:eastAsia="宋体" w:cs="宋体"/>
                <w:kern w:val="2"/>
                <w:sz w:val="22"/>
                <w:szCs w:val="21"/>
                <w:bdr w:val="none" w:color="auto" w:sz="0" w:space="0"/>
                <w:lang w:val="en-US" w:eastAsia="zh-CN" w:bidi="ar"/>
              </w:rPr>
              <w:t>米</w:t>
            </w:r>
            <w:r>
              <w:rPr>
                <w:rFonts w:hint="default" w:ascii="Calibri" w:hAnsi="Calibri" w:eastAsia="宋体" w:cs="Times New Roman"/>
                <w:kern w:val="2"/>
                <w:sz w:val="22"/>
                <w:szCs w:val="21"/>
                <w:bdr w:val="none" w:color="auto" w:sz="0" w:space="0"/>
                <w:lang w:val="en-US" w:eastAsia="zh-CN" w:bidi="ar"/>
              </w:rPr>
              <w:t>*3</w:t>
            </w:r>
            <w:r>
              <w:rPr>
                <w:rFonts w:hint="eastAsia" w:ascii="Calibri" w:hAnsi="Calibri" w:eastAsia="宋体" w:cs="宋体"/>
                <w:kern w:val="2"/>
                <w:sz w:val="22"/>
                <w:szCs w:val="21"/>
                <w:bdr w:val="none" w:color="auto" w:sz="0" w:space="0"/>
                <w:lang w:val="en-US" w:eastAsia="zh-CN" w:bidi="ar"/>
              </w:rPr>
              <w:t>米），均采用</w:t>
            </w:r>
            <w:r>
              <w:rPr>
                <w:rFonts w:hint="default" w:ascii="Calibri" w:hAnsi="Calibri" w:eastAsia="宋体" w:cs="Times New Roman"/>
                <w:kern w:val="2"/>
                <w:sz w:val="22"/>
                <w:szCs w:val="21"/>
                <w:bdr w:val="none" w:color="auto" w:sz="0" w:space="0"/>
                <w:lang w:val="en-US" w:eastAsia="zh-CN" w:bidi="ar"/>
              </w:rPr>
              <w:t>PVC</w:t>
            </w:r>
            <w:r>
              <w:rPr>
                <w:rFonts w:hint="eastAsia" w:ascii="Calibri" w:hAnsi="Calibri" w:eastAsia="宋体" w:cs="宋体"/>
                <w:kern w:val="2"/>
                <w:sz w:val="22"/>
                <w:szCs w:val="21"/>
                <w:bdr w:val="none" w:color="auto" w:sz="0" w:space="0"/>
                <w:lang w:val="en-US" w:eastAsia="zh-CN" w:bidi="ar"/>
              </w:rPr>
              <w:t>快速卷帘门，可配合</w:t>
            </w:r>
            <w:r>
              <w:rPr>
                <w:rFonts w:hint="default" w:ascii="Calibri" w:hAnsi="Calibri" w:eastAsia="宋体" w:cs="Times New Roman"/>
                <w:kern w:val="2"/>
                <w:sz w:val="22"/>
                <w:szCs w:val="21"/>
                <w:bdr w:val="none" w:color="auto" w:sz="0" w:space="0"/>
                <w:lang w:val="en-US" w:eastAsia="zh-CN" w:bidi="ar"/>
              </w:rPr>
              <w:t>AGV</w:t>
            </w:r>
            <w:r>
              <w:rPr>
                <w:rFonts w:hint="eastAsia" w:ascii="Calibri" w:hAnsi="Calibri" w:eastAsia="宋体" w:cs="宋体"/>
                <w:kern w:val="2"/>
                <w:sz w:val="22"/>
                <w:szCs w:val="21"/>
                <w:bdr w:val="none" w:color="auto" w:sz="0" w:space="0"/>
                <w:lang w:val="en-US" w:eastAsia="zh-CN" w:bidi="ar"/>
              </w:rPr>
              <w:t>模块对接，人员进出门</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樘，人员逃生门</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樘，均采用大幅玻璃视窗，人员进出门需采用进口品牌闭门器，点胶型密封条，嵌入式合页，密封扫地条，以保证高频开合亦能保证密封性良好并平稳运行；其中两樘</w:t>
            </w:r>
            <w:r>
              <w:rPr>
                <w:rFonts w:hint="default" w:ascii="Calibri" w:hAnsi="Calibri" w:eastAsia="宋体" w:cs="Times New Roman"/>
                <w:kern w:val="2"/>
                <w:sz w:val="22"/>
                <w:szCs w:val="21"/>
                <w:bdr w:val="none" w:color="auto" w:sz="0" w:space="0"/>
                <w:lang w:val="en-US" w:eastAsia="zh-CN" w:bidi="ar"/>
              </w:rPr>
              <w:t>PVC</w:t>
            </w:r>
            <w:r>
              <w:rPr>
                <w:rFonts w:hint="eastAsia" w:ascii="Calibri" w:hAnsi="Calibri" w:eastAsia="宋体" w:cs="宋体"/>
                <w:kern w:val="2"/>
                <w:sz w:val="22"/>
                <w:szCs w:val="21"/>
                <w:bdr w:val="none" w:color="auto" w:sz="0" w:space="0"/>
                <w:lang w:val="en-US" w:eastAsia="zh-CN" w:bidi="ar"/>
              </w:rPr>
              <w:t>快卷门与人员进出门三门互锁，不可同时打开，以防止洁净室泄压，带来灰尘污染。</w:t>
            </w:r>
          </w:p>
          <w:p w14:paraId="04DFA2D5">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二、洁净度要求</w:t>
            </w:r>
            <w:r>
              <w:rPr>
                <w:rFonts w:hint="default" w:ascii="Calibri" w:hAnsi="Calibri" w:eastAsia="宋体" w:cs="Times New Roman"/>
                <w:kern w:val="2"/>
                <w:sz w:val="22"/>
                <w:szCs w:val="21"/>
                <w:bdr w:val="none" w:color="auto" w:sz="0" w:space="0"/>
                <w:lang w:val="en-US" w:eastAsia="zh-CN" w:bidi="ar"/>
              </w:rPr>
              <w:t xml:space="preserve"> </w:t>
            </w:r>
          </w:p>
          <w:p w14:paraId="642B0D38">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洁净室内空气洁净度等级</w:t>
            </w:r>
            <w:r>
              <w:rPr>
                <w:rFonts w:hint="default" w:ascii="Calibri" w:hAnsi="Calibri" w:eastAsia="宋体" w:cs="Times New Roman"/>
                <w:kern w:val="2"/>
                <w:sz w:val="22"/>
                <w:szCs w:val="21"/>
                <w:bdr w:val="none" w:color="auto" w:sz="0" w:space="0"/>
                <w:lang w:val="en-US" w:eastAsia="zh-CN" w:bidi="ar"/>
              </w:rPr>
              <w:t>ISO 7</w:t>
            </w:r>
            <w:r>
              <w:rPr>
                <w:rFonts w:hint="eastAsia" w:ascii="Calibri" w:hAnsi="Calibri" w:eastAsia="宋体" w:cs="宋体"/>
                <w:kern w:val="2"/>
                <w:sz w:val="22"/>
                <w:szCs w:val="21"/>
                <w:bdr w:val="none" w:color="auto" w:sz="0" w:space="0"/>
                <w:lang w:val="en-US" w:eastAsia="zh-CN" w:bidi="ar"/>
              </w:rPr>
              <w:t>级</w:t>
            </w:r>
            <w:r>
              <w:rPr>
                <w:rFonts w:hint="default" w:ascii="Calibri" w:hAnsi="Calibri" w:eastAsia="宋体" w:cs="Times New Roman"/>
                <w:kern w:val="2"/>
                <w:sz w:val="22"/>
                <w:szCs w:val="21"/>
                <w:bdr w:val="none" w:color="auto" w:sz="0" w:space="0"/>
                <w:lang w:val="en-US" w:eastAsia="zh-CN" w:bidi="ar"/>
              </w:rPr>
              <w:t xml:space="preserve"> (</w:t>
            </w:r>
            <w:r>
              <w:rPr>
                <w:rFonts w:hint="eastAsia" w:ascii="Calibri" w:hAnsi="Calibri" w:eastAsia="宋体" w:cs="宋体"/>
                <w:kern w:val="2"/>
                <w:sz w:val="22"/>
                <w:szCs w:val="21"/>
                <w:bdr w:val="none" w:color="auto" w:sz="0" w:space="0"/>
                <w:lang w:val="en-US" w:eastAsia="zh-CN" w:bidi="ar"/>
              </w:rPr>
              <w:t>万级</w:t>
            </w:r>
            <w:r>
              <w:rPr>
                <w:rFonts w:hint="default" w:ascii="Calibri" w:hAnsi="Calibri" w:eastAsia="宋体" w:cs="Times New Roman"/>
                <w:kern w:val="2"/>
                <w:sz w:val="22"/>
                <w:szCs w:val="21"/>
                <w:bdr w:val="none" w:color="auto" w:sz="0" w:space="0"/>
                <w:lang w:val="en-US" w:eastAsia="zh-CN" w:bidi="ar"/>
              </w:rPr>
              <w:t>)</w:t>
            </w:r>
            <w:r>
              <w:rPr>
                <w:rFonts w:hint="eastAsia" w:ascii="Calibri" w:hAnsi="Calibri" w:eastAsia="宋体" w:cs="宋体"/>
                <w:kern w:val="2"/>
                <w:sz w:val="22"/>
                <w:szCs w:val="21"/>
                <w:bdr w:val="none" w:color="auto" w:sz="0" w:space="0"/>
                <w:lang w:val="en-US" w:eastAsia="zh-CN" w:bidi="ar"/>
              </w:rPr>
              <w:t>，具备初效过滤器和高效过滤器。</w:t>
            </w:r>
          </w:p>
          <w:p w14:paraId="638A12D7">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三、硬件要求</w:t>
            </w:r>
            <w:r>
              <w:rPr>
                <w:rFonts w:hint="default" w:ascii="Calibri" w:hAnsi="Calibri" w:eastAsia="宋体" w:cs="Times New Roman"/>
                <w:kern w:val="2"/>
                <w:sz w:val="22"/>
                <w:szCs w:val="21"/>
                <w:bdr w:val="none" w:color="auto" w:sz="0" w:space="0"/>
                <w:lang w:val="en-US" w:eastAsia="zh-CN" w:bidi="ar"/>
              </w:rPr>
              <w:t xml:space="preserve"> </w:t>
            </w:r>
          </w:p>
          <w:p w14:paraId="2C875642">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）洁净室内配置优质</w:t>
            </w:r>
            <w:r>
              <w:rPr>
                <w:rFonts w:hint="default" w:ascii="Calibri" w:hAnsi="Calibri" w:eastAsia="宋体" w:cs="Times New Roman"/>
                <w:kern w:val="2"/>
                <w:sz w:val="22"/>
                <w:szCs w:val="21"/>
                <w:bdr w:val="none" w:color="auto" w:sz="0" w:space="0"/>
                <w:lang w:val="en-US" w:eastAsia="zh-CN" w:bidi="ar"/>
              </w:rPr>
              <w:t>PVC</w:t>
            </w:r>
            <w:r>
              <w:rPr>
                <w:rFonts w:hint="eastAsia" w:ascii="Calibri" w:hAnsi="Calibri" w:eastAsia="宋体" w:cs="宋体"/>
                <w:kern w:val="2"/>
                <w:sz w:val="22"/>
                <w:szCs w:val="21"/>
                <w:bdr w:val="none" w:color="auto" w:sz="0" w:space="0"/>
                <w:lang w:val="en-US" w:eastAsia="zh-CN" w:bidi="ar"/>
              </w:rPr>
              <w:t>无尘地胶，需要耐酸碱以及有机溶剂的腐蚀、防静电；铺设后设备进出门内外地面不能有台阶落差，须做金属（不锈钢）斜坡过度。</w:t>
            </w:r>
          </w:p>
          <w:p w14:paraId="553638CE">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2</w:t>
            </w:r>
            <w:r>
              <w:rPr>
                <w:rFonts w:hint="eastAsia" w:ascii="Calibri" w:hAnsi="Calibri" w:eastAsia="宋体" w:cs="宋体"/>
                <w:kern w:val="2"/>
                <w:sz w:val="22"/>
                <w:szCs w:val="21"/>
                <w:bdr w:val="none" w:color="auto" w:sz="0" w:space="0"/>
                <w:lang w:val="en-US" w:eastAsia="zh-CN" w:bidi="ar"/>
              </w:rPr>
              <w:t>）洁净室结构须采取必要的减振隔振措施，运行时对室内下方地面的振动扰动增幅不超过室内系统停机时下方地面本底振幅的</w:t>
            </w:r>
            <w:r>
              <w:rPr>
                <w:rFonts w:hint="default" w:ascii="Calibri" w:hAnsi="Calibri" w:eastAsia="宋体" w:cs="Times New Roman"/>
                <w:kern w:val="2"/>
                <w:sz w:val="22"/>
                <w:szCs w:val="21"/>
                <w:bdr w:val="none" w:color="auto" w:sz="0" w:space="0"/>
                <w:lang w:val="en-US" w:eastAsia="zh-CN" w:bidi="ar"/>
              </w:rPr>
              <w:t xml:space="preserve"> 5%</w:t>
            </w:r>
            <w:r>
              <w:rPr>
                <w:rFonts w:hint="eastAsia" w:ascii="Calibri" w:hAnsi="Calibri" w:eastAsia="宋体" w:cs="宋体"/>
                <w:kern w:val="2"/>
                <w:sz w:val="22"/>
                <w:szCs w:val="21"/>
                <w:bdr w:val="none" w:color="auto" w:sz="0" w:space="0"/>
                <w:lang w:val="en-US" w:eastAsia="zh-CN" w:bidi="ar"/>
              </w:rPr>
              <w:t>，；洁净过滤系统启动后，日常工作环境噪音小于</w:t>
            </w:r>
            <w:r>
              <w:rPr>
                <w:rFonts w:hint="default" w:ascii="Calibri" w:hAnsi="Calibri" w:eastAsia="宋体" w:cs="Times New Roman"/>
                <w:kern w:val="2"/>
                <w:sz w:val="22"/>
                <w:szCs w:val="21"/>
                <w:bdr w:val="none" w:color="auto" w:sz="0" w:space="0"/>
                <w:lang w:val="en-US" w:eastAsia="zh-CN" w:bidi="ar"/>
              </w:rPr>
              <w:t>65dB</w:t>
            </w: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 xml:space="preserve"> </w:t>
            </w:r>
          </w:p>
          <w:p w14:paraId="34EF9873">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3</w:t>
            </w:r>
            <w:r>
              <w:rPr>
                <w:rFonts w:hint="eastAsia" w:ascii="Calibri" w:hAnsi="Calibri" w:eastAsia="宋体" w:cs="宋体"/>
                <w:kern w:val="2"/>
                <w:sz w:val="22"/>
                <w:szCs w:val="21"/>
                <w:bdr w:val="none" w:color="auto" w:sz="0" w:space="0"/>
                <w:lang w:val="en-US" w:eastAsia="zh-CN" w:bidi="ar"/>
              </w:rPr>
              <w:t>）分别配置</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套日光照明系统和</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套黄光照明系统，黄光灯保证光源为黄色，可供选择使用。</w:t>
            </w:r>
          </w:p>
          <w:p w14:paraId="48A9E5FD">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4</w:t>
            </w:r>
            <w:r>
              <w:rPr>
                <w:rFonts w:hint="eastAsia" w:ascii="Calibri" w:hAnsi="Calibri" w:eastAsia="宋体" w:cs="宋体"/>
                <w:kern w:val="2"/>
                <w:sz w:val="22"/>
                <w:szCs w:val="21"/>
                <w:bdr w:val="none" w:color="auto" w:sz="0" w:space="0"/>
                <w:lang w:val="en-US" w:eastAsia="zh-CN" w:bidi="ar"/>
              </w:rPr>
              <w:t>）乙方需负责将气体管路从气源处引至室内室外指定点，包含压缩气体和氮气，共计</w:t>
            </w:r>
            <w:r>
              <w:rPr>
                <w:rFonts w:hint="default" w:ascii="Calibri" w:hAnsi="Calibri" w:eastAsia="宋体" w:cs="Times New Roman"/>
                <w:kern w:val="2"/>
                <w:sz w:val="22"/>
                <w:szCs w:val="21"/>
                <w:bdr w:val="none" w:color="auto" w:sz="0" w:space="0"/>
                <w:lang w:val="en-US" w:eastAsia="zh-CN" w:bidi="ar"/>
              </w:rPr>
              <w:t>20</w:t>
            </w:r>
            <w:r>
              <w:rPr>
                <w:rFonts w:hint="eastAsia" w:ascii="Calibri" w:hAnsi="Calibri" w:eastAsia="宋体" w:cs="宋体"/>
                <w:kern w:val="2"/>
                <w:sz w:val="22"/>
                <w:szCs w:val="21"/>
                <w:bdr w:val="none" w:color="auto" w:sz="0" w:space="0"/>
                <w:lang w:val="en-US" w:eastAsia="zh-CN" w:bidi="ar"/>
              </w:rPr>
              <w:t>处（氮气及压缩气体各</w:t>
            </w:r>
            <w:r>
              <w:rPr>
                <w:rFonts w:hint="default" w:ascii="Calibri" w:hAnsi="Calibri" w:eastAsia="宋体" w:cs="Times New Roman"/>
                <w:kern w:val="2"/>
                <w:sz w:val="22"/>
                <w:szCs w:val="21"/>
                <w:bdr w:val="none" w:color="auto" w:sz="0" w:space="0"/>
                <w:lang w:val="en-US" w:eastAsia="zh-CN" w:bidi="ar"/>
              </w:rPr>
              <w:t>10</w:t>
            </w:r>
            <w:r>
              <w:rPr>
                <w:rFonts w:hint="eastAsia" w:ascii="Calibri" w:hAnsi="Calibri" w:eastAsia="宋体" w:cs="宋体"/>
                <w:kern w:val="2"/>
                <w:sz w:val="22"/>
                <w:szCs w:val="21"/>
                <w:bdr w:val="none" w:color="auto" w:sz="0" w:space="0"/>
                <w:lang w:val="en-US" w:eastAsia="zh-CN" w:bidi="ar"/>
              </w:rPr>
              <w:t>处），沿途需按照规定设立横梁立柱等支撑性结构，并设立桥架保护（桥架材质为铝合金）；其中洁净室内配置不少于</w:t>
            </w:r>
            <w:r>
              <w:rPr>
                <w:rFonts w:hint="default" w:ascii="Calibri" w:hAnsi="Calibri" w:eastAsia="宋体" w:cs="Times New Roman"/>
                <w:kern w:val="2"/>
                <w:sz w:val="22"/>
                <w:szCs w:val="21"/>
                <w:bdr w:val="none" w:color="auto" w:sz="0" w:space="0"/>
                <w:lang w:val="en-US" w:eastAsia="zh-CN" w:bidi="ar"/>
              </w:rPr>
              <w:t>6</w:t>
            </w:r>
            <w:r>
              <w:rPr>
                <w:rFonts w:hint="eastAsia" w:ascii="Calibri" w:hAnsi="Calibri" w:eastAsia="宋体" w:cs="宋体"/>
                <w:kern w:val="2"/>
                <w:sz w:val="22"/>
                <w:szCs w:val="21"/>
                <w:bdr w:val="none" w:color="auto" w:sz="0" w:space="0"/>
                <w:lang w:val="en-US" w:eastAsia="zh-CN" w:bidi="ar"/>
              </w:rPr>
              <w:t>处氮气接口，并配备气体浓度监测原件、</w:t>
            </w:r>
            <w:r>
              <w:rPr>
                <w:rFonts w:hint="default" w:ascii="Calibri" w:hAnsi="Calibri" w:eastAsia="宋体" w:cs="Times New Roman"/>
                <w:kern w:val="2"/>
                <w:sz w:val="22"/>
                <w:szCs w:val="21"/>
                <w:bdr w:val="none" w:color="auto" w:sz="0" w:space="0"/>
                <w:lang w:val="en-US" w:eastAsia="zh-CN" w:bidi="ar"/>
              </w:rPr>
              <w:t>6</w:t>
            </w:r>
            <w:r>
              <w:rPr>
                <w:rFonts w:hint="eastAsia" w:ascii="Calibri" w:hAnsi="Calibri" w:eastAsia="宋体" w:cs="宋体"/>
                <w:kern w:val="2"/>
                <w:sz w:val="22"/>
                <w:szCs w:val="21"/>
                <w:bdr w:val="none" w:color="auto" w:sz="0" w:space="0"/>
                <w:lang w:val="en-US" w:eastAsia="zh-CN" w:bidi="ar"/>
              </w:rPr>
              <w:t>处压缩空气接口点位。</w:t>
            </w:r>
          </w:p>
          <w:p w14:paraId="158C760C">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5</w:t>
            </w:r>
            <w:r>
              <w:rPr>
                <w:rFonts w:hint="eastAsia" w:ascii="Calibri" w:hAnsi="Calibri" w:eastAsia="宋体" w:cs="宋体"/>
                <w:kern w:val="2"/>
                <w:sz w:val="22"/>
                <w:szCs w:val="21"/>
                <w:bdr w:val="none" w:color="auto" w:sz="0" w:space="0"/>
                <w:lang w:val="en-US" w:eastAsia="zh-CN" w:bidi="ar"/>
              </w:rPr>
              <w:t>）洁净室配置智能监控中心（彩色液晶触摸屏，尺寸不小于</w:t>
            </w:r>
            <w:r>
              <w:rPr>
                <w:rFonts w:hint="default" w:ascii="Calibri" w:hAnsi="Calibri" w:eastAsia="宋体" w:cs="Times New Roman"/>
                <w:kern w:val="2"/>
                <w:sz w:val="22"/>
                <w:szCs w:val="21"/>
                <w:bdr w:val="none" w:color="auto" w:sz="0" w:space="0"/>
                <w:lang w:val="en-US" w:eastAsia="zh-CN" w:bidi="ar"/>
              </w:rPr>
              <w:t>10</w:t>
            </w:r>
            <w:r>
              <w:rPr>
                <w:rFonts w:hint="eastAsia" w:ascii="Calibri" w:hAnsi="Calibri" w:eastAsia="宋体" w:cs="宋体"/>
                <w:kern w:val="2"/>
                <w:sz w:val="22"/>
                <w:szCs w:val="21"/>
                <w:bdr w:val="none" w:color="auto" w:sz="0" w:space="0"/>
                <w:lang w:val="en-US" w:eastAsia="zh-CN" w:bidi="ar"/>
              </w:rPr>
              <w:t>英寸，可实现风机的异常、故障报警功能，界面实时布局，能清楚看到故障位置；可选配各种传感器，对洁净度、温湿度、风速、压差等实时监控；可实现</w:t>
            </w:r>
            <w:r>
              <w:rPr>
                <w:rFonts w:hint="default" w:ascii="Calibri" w:hAnsi="Calibri" w:eastAsia="宋体" w:cs="Times New Roman"/>
                <w:kern w:val="2"/>
                <w:sz w:val="22"/>
                <w:szCs w:val="21"/>
                <w:bdr w:val="none" w:color="auto" w:sz="0" w:space="0"/>
                <w:lang w:val="en-US" w:eastAsia="zh-CN" w:bidi="ar"/>
              </w:rPr>
              <w:t>FFU</w:t>
            </w:r>
            <w:r>
              <w:rPr>
                <w:rFonts w:hint="eastAsia" w:ascii="Calibri" w:hAnsi="Calibri" w:eastAsia="宋体" w:cs="宋体"/>
                <w:kern w:val="2"/>
                <w:sz w:val="22"/>
                <w:szCs w:val="21"/>
                <w:bdr w:val="none" w:color="auto" w:sz="0" w:space="0"/>
                <w:lang w:val="en-US" w:eastAsia="zh-CN" w:bidi="ar"/>
              </w:rPr>
              <w:t>的启停、风速调节，可进行工作、值班模式设置，支持非标控制；系统可与实验室总控中心联网或通过网络实现电脑及手机远程监控）。</w:t>
            </w:r>
          </w:p>
          <w:p w14:paraId="085BF29B">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6</w:t>
            </w:r>
            <w:r>
              <w:rPr>
                <w:rFonts w:hint="eastAsia" w:ascii="Calibri" w:hAnsi="Calibri" w:eastAsia="宋体" w:cs="宋体"/>
                <w:kern w:val="2"/>
                <w:sz w:val="22"/>
                <w:szCs w:val="21"/>
                <w:bdr w:val="none" w:color="auto" w:sz="0" w:space="0"/>
                <w:lang w:val="en-US" w:eastAsia="zh-CN" w:bidi="ar"/>
              </w:rPr>
              <w:t>）洁净室配置显示大屏幕一台（显示大屏幕</w:t>
            </w:r>
            <w:r>
              <w:rPr>
                <w:rFonts w:hint="default" w:ascii="Calibri" w:hAnsi="Calibri" w:eastAsia="宋体" w:cs="Times New Roman"/>
                <w:kern w:val="2"/>
                <w:sz w:val="22"/>
                <w:szCs w:val="21"/>
                <w:bdr w:val="none" w:color="auto" w:sz="0" w:space="0"/>
                <w:lang w:val="en-US" w:eastAsia="zh-CN" w:bidi="ar"/>
              </w:rPr>
              <w:t>100</w:t>
            </w:r>
            <w:r>
              <w:rPr>
                <w:rFonts w:hint="eastAsia" w:ascii="Calibri" w:hAnsi="Calibri" w:eastAsia="宋体" w:cs="宋体"/>
                <w:kern w:val="2"/>
                <w:sz w:val="22"/>
                <w:szCs w:val="21"/>
                <w:bdr w:val="none" w:color="auto" w:sz="0" w:space="0"/>
                <w:lang w:val="en-US" w:eastAsia="zh-CN" w:bidi="ar"/>
              </w:rPr>
              <w:t>寸，各个工位工况显示小屏幕</w:t>
            </w:r>
            <w:r>
              <w:rPr>
                <w:rFonts w:hint="default" w:ascii="Calibri" w:hAnsi="Calibri" w:eastAsia="宋体" w:cs="Times New Roman"/>
                <w:kern w:val="2"/>
                <w:sz w:val="22"/>
                <w:szCs w:val="21"/>
                <w:bdr w:val="none" w:color="auto" w:sz="0" w:space="0"/>
                <w:lang w:val="en-US" w:eastAsia="zh-CN" w:bidi="ar"/>
              </w:rPr>
              <w:t>30</w:t>
            </w:r>
            <w:r>
              <w:rPr>
                <w:rFonts w:hint="eastAsia" w:ascii="Calibri" w:hAnsi="Calibri" w:eastAsia="宋体" w:cs="宋体"/>
                <w:kern w:val="2"/>
                <w:sz w:val="22"/>
                <w:szCs w:val="21"/>
                <w:bdr w:val="none" w:color="auto" w:sz="0" w:space="0"/>
                <w:lang w:val="en-US" w:eastAsia="zh-CN" w:bidi="ar"/>
              </w:rPr>
              <w:t>寸</w:t>
            </w:r>
            <w:r>
              <w:rPr>
                <w:rFonts w:hint="default" w:ascii="Calibri" w:hAnsi="Calibri" w:eastAsia="宋体" w:cs="Times New Roman"/>
                <w:kern w:val="2"/>
                <w:sz w:val="22"/>
                <w:szCs w:val="21"/>
                <w:bdr w:val="none" w:color="auto" w:sz="0" w:space="0"/>
                <w:lang w:val="en-US" w:eastAsia="zh-CN" w:bidi="ar"/>
              </w:rPr>
              <w:t>6</w:t>
            </w:r>
            <w:r>
              <w:rPr>
                <w:rFonts w:hint="eastAsia" w:ascii="Calibri" w:hAnsi="Calibri" w:eastAsia="宋体" w:cs="宋体"/>
                <w:kern w:val="2"/>
                <w:sz w:val="22"/>
                <w:szCs w:val="21"/>
                <w:bdr w:val="none" w:color="auto" w:sz="0" w:space="0"/>
                <w:lang w:val="en-US" w:eastAsia="zh-CN" w:bidi="ar"/>
              </w:rPr>
              <w:t>台，共用主机一台，供甲方显示工位的工作状态，以及显示洁净室内的环境监等；主机配置处理器：</w:t>
            </w:r>
            <w:r>
              <w:rPr>
                <w:rFonts w:hint="default" w:ascii="Calibri" w:hAnsi="Calibri" w:eastAsia="宋体" w:cs="Times New Roman"/>
                <w:kern w:val="2"/>
                <w:sz w:val="22"/>
                <w:szCs w:val="21"/>
                <w:bdr w:val="none" w:color="auto" w:sz="0" w:space="0"/>
                <w:lang w:val="en-US" w:eastAsia="zh-CN" w:bidi="ar"/>
              </w:rPr>
              <w:t>8P+12E</w:t>
            </w: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28</w:t>
            </w:r>
            <w:r>
              <w:rPr>
                <w:rFonts w:hint="eastAsia" w:ascii="Calibri" w:hAnsi="Calibri" w:eastAsia="宋体" w:cs="宋体"/>
                <w:kern w:val="2"/>
                <w:sz w:val="22"/>
                <w:szCs w:val="21"/>
                <w:bdr w:val="none" w:color="auto" w:sz="0" w:space="0"/>
                <w:lang w:val="en-US" w:eastAsia="zh-CN" w:bidi="ar"/>
              </w:rPr>
              <w:t>线程；显卡：显存容量</w:t>
            </w:r>
            <w:r>
              <w:rPr>
                <w:rFonts w:hint="default" w:ascii="Calibri" w:hAnsi="Calibri" w:eastAsia="宋体" w:cs="Times New Roman"/>
                <w:kern w:val="2"/>
                <w:sz w:val="22"/>
                <w:szCs w:val="21"/>
                <w:bdr w:val="none" w:color="auto" w:sz="0" w:space="0"/>
                <w:lang w:val="en-US" w:eastAsia="zh-CN" w:bidi="ar"/>
              </w:rPr>
              <w:t>8GB</w:t>
            </w:r>
            <w:r>
              <w:rPr>
                <w:rFonts w:hint="eastAsia" w:ascii="Calibri" w:hAnsi="Calibri" w:eastAsia="宋体" w:cs="宋体"/>
                <w:kern w:val="2"/>
                <w:sz w:val="22"/>
                <w:szCs w:val="21"/>
                <w:bdr w:val="none" w:color="auto" w:sz="0" w:space="0"/>
                <w:lang w:val="en-US" w:eastAsia="zh-CN" w:bidi="ar"/>
              </w:rPr>
              <w:t>，显存位宽</w:t>
            </w:r>
            <w:r>
              <w:rPr>
                <w:rFonts w:hint="default" w:ascii="Calibri" w:hAnsi="Calibri" w:eastAsia="宋体" w:cs="Times New Roman"/>
                <w:kern w:val="2"/>
                <w:sz w:val="22"/>
                <w:szCs w:val="21"/>
                <w:bdr w:val="none" w:color="auto" w:sz="0" w:space="0"/>
                <w:lang w:val="en-US" w:eastAsia="zh-CN" w:bidi="ar"/>
              </w:rPr>
              <w:t>128-bit</w:t>
            </w:r>
            <w:r>
              <w:rPr>
                <w:rFonts w:hint="eastAsia" w:ascii="Calibri" w:hAnsi="Calibri" w:eastAsia="宋体" w:cs="宋体"/>
                <w:kern w:val="2"/>
                <w:sz w:val="22"/>
                <w:szCs w:val="21"/>
                <w:bdr w:val="none" w:color="auto" w:sz="0" w:space="0"/>
                <w:lang w:val="en-US" w:eastAsia="zh-CN" w:bidi="ar"/>
              </w:rPr>
              <w:t>，显存带宽约</w:t>
            </w:r>
            <w:r>
              <w:rPr>
                <w:rFonts w:hint="default" w:ascii="Calibri" w:hAnsi="Calibri" w:eastAsia="宋体" w:cs="Times New Roman"/>
                <w:kern w:val="2"/>
                <w:sz w:val="22"/>
                <w:szCs w:val="21"/>
                <w:bdr w:val="none" w:color="auto" w:sz="0" w:space="0"/>
                <w:lang w:val="en-US" w:eastAsia="zh-CN" w:bidi="ar"/>
              </w:rPr>
              <w:t>448-512GB/S</w:t>
            </w:r>
            <w:r>
              <w:rPr>
                <w:rFonts w:hint="eastAsia" w:ascii="Calibri" w:hAnsi="Calibri" w:eastAsia="宋体" w:cs="宋体"/>
                <w:kern w:val="2"/>
                <w:sz w:val="22"/>
                <w:szCs w:val="21"/>
                <w:bdr w:val="none" w:color="auto" w:sz="0" w:space="0"/>
                <w:lang w:val="en-US" w:eastAsia="zh-CN" w:bidi="ar"/>
              </w:rPr>
              <w:t>，加速频率</w:t>
            </w:r>
            <w:r>
              <w:rPr>
                <w:rFonts w:hint="default" w:ascii="Calibri" w:hAnsi="Calibri" w:eastAsia="宋体" w:cs="Times New Roman"/>
                <w:kern w:val="2"/>
                <w:sz w:val="22"/>
                <w:szCs w:val="21"/>
                <w:bdr w:val="none" w:color="auto" w:sz="0" w:space="0"/>
                <w:lang w:val="en-US" w:eastAsia="zh-CN" w:bidi="ar"/>
              </w:rPr>
              <w:t>~2.8-3.0GHz</w:t>
            </w:r>
            <w:r>
              <w:rPr>
                <w:rFonts w:hint="eastAsia" w:ascii="Calibri" w:hAnsi="Calibri" w:eastAsia="宋体" w:cs="宋体"/>
                <w:kern w:val="2"/>
                <w:sz w:val="22"/>
                <w:szCs w:val="21"/>
                <w:bdr w:val="none" w:color="auto" w:sz="0" w:space="0"/>
                <w:lang w:val="en-US" w:eastAsia="zh-CN" w:bidi="ar"/>
              </w:rPr>
              <w:t>内存：不小于</w:t>
            </w:r>
            <w:r>
              <w:rPr>
                <w:rFonts w:hint="default" w:ascii="Calibri" w:hAnsi="Calibri" w:eastAsia="宋体" w:cs="Times New Roman"/>
                <w:kern w:val="2"/>
                <w:sz w:val="22"/>
                <w:szCs w:val="21"/>
                <w:bdr w:val="none" w:color="auto" w:sz="0" w:space="0"/>
                <w:lang w:val="en-US" w:eastAsia="zh-CN" w:bidi="ar"/>
              </w:rPr>
              <w:t>32G+1TB</w:t>
            </w:r>
            <w:r>
              <w:rPr>
                <w:rFonts w:hint="eastAsia" w:ascii="Calibri" w:hAnsi="Calibri" w:eastAsia="宋体" w:cs="宋体"/>
                <w:kern w:val="2"/>
                <w:sz w:val="22"/>
                <w:szCs w:val="21"/>
                <w:bdr w:val="none" w:color="auto" w:sz="0" w:space="0"/>
                <w:lang w:val="en-US" w:eastAsia="zh-CN" w:bidi="ar"/>
              </w:rPr>
              <w:t>。</w:t>
            </w:r>
          </w:p>
          <w:p w14:paraId="6055D910">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7</w:t>
            </w:r>
            <w:r>
              <w:rPr>
                <w:rFonts w:hint="eastAsia" w:ascii="Calibri" w:hAnsi="Calibri" w:eastAsia="宋体" w:cs="宋体"/>
                <w:kern w:val="2"/>
                <w:sz w:val="22"/>
                <w:szCs w:val="21"/>
                <w:bdr w:val="none" w:color="auto" w:sz="0" w:space="0"/>
                <w:lang w:val="en-US" w:eastAsia="zh-CN" w:bidi="ar"/>
              </w:rPr>
              <w:t>）洁净室内配置</w:t>
            </w:r>
            <w:r>
              <w:rPr>
                <w:rFonts w:hint="default" w:ascii="Calibri" w:hAnsi="Calibri" w:eastAsia="宋体" w:cs="Times New Roman"/>
                <w:kern w:val="2"/>
                <w:sz w:val="22"/>
                <w:szCs w:val="21"/>
                <w:bdr w:val="none" w:color="auto" w:sz="0" w:space="0"/>
                <w:lang w:val="en-US" w:eastAsia="zh-CN" w:bidi="ar"/>
              </w:rPr>
              <w:t>8</w:t>
            </w:r>
            <w:r>
              <w:rPr>
                <w:rFonts w:hint="eastAsia" w:ascii="Calibri" w:hAnsi="Calibri" w:eastAsia="宋体" w:cs="宋体"/>
                <w:kern w:val="2"/>
                <w:sz w:val="22"/>
                <w:szCs w:val="21"/>
                <w:bdr w:val="none" w:color="auto" w:sz="0" w:space="0"/>
                <w:lang w:val="en-US" w:eastAsia="zh-CN" w:bidi="ar"/>
              </w:rPr>
              <w:t>组不锈钢货架（</w:t>
            </w:r>
            <w:r>
              <w:rPr>
                <w:rFonts w:hint="default" w:ascii="Calibri" w:hAnsi="Calibri" w:eastAsia="宋体" w:cs="Times New Roman"/>
                <w:kern w:val="2"/>
                <w:sz w:val="22"/>
                <w:szCs w:val="21"/>
                <w:bdr w:val="none" w:color="auto" w:sz="0" w:space="0"/>
                <w:lang w:val="en-US" w:eastAsia="zh-CN" w:bidi="ar"/>
              </w:rPr>
              <w:t>SUS304</w:t>
            </w:r>
            <w:r>
              <w:rPr>
                <w:rFonts w:hint="eastAsia" w:ascii="Calibri" w:hAnsi="Calibri" w:eastAsia="宋体" w:cs="宋体"/>
                <w:kern w:val="2"/>
                <w:sz w:val="22"/>
                <w:szCs w:val="21"/>
                <w:bdr w:val="none" w:color="auto" w:sz="0" w:space="0"/>
                <w:lang w:val="en-US" w:eastAsia="zh-CN" w:bidi="ar"/>
              </w:rPr>
              <w:t>，尺寸不小于长</w:t>
            </w:r>
            <w:r>
              <w:rPr>
                <w:rFonts w:hint="default" w:ascii="Calibri" w:hAnsi="Calibri" w:eastAsia="宋体" w:cs="Times New Roman"/>
                <w:kern w:val="2"/>
                <w:sz w:val="22"/>
                <w:szCs w:val="21"/>
                <w:bdr w:val="none" w:color="auto" w:sz="0" w:space="0"/>
                <w:lang w:val="en-US" w:eastAsia="zh-CN" w:bidi="ar"/>
              </w:rPr>
              <w:t>2m</w:t>
            </w:r>
            <w:r>
              <w:rPr>
                <w:rFonts w:hint="eastAsia" w:ascii="Calibri" w:hAnsi="Calibri" w:eastAsia="宋体" w:cs="宋体"/>
                <w:kern w:val="2"/>
                <w:sz w:val="22"/>
                <w:szCs w:val="21"/>
                <w:bdr w:val="none" w:color="auto" w:sz="0" w:space="0"/>
                <w:lang w:val="en-US" w:eastAsia="zh-CN" w:bidi="ar"/>
              </w:rPr>
              <w:t>、宽</w:t>
            </w:r>
            <w:r>
              <w:rPr>
                <w:rFonts w:hint="default" w:ascii="Calibri" w:hAnsi="Calibri" w:eastAsia="宋体" w:cs="Times New Roman"/>
                <w:kern w:val="2"/>
                <w:sz w:val="22"/>
                <w:szCs w:val="21"/>
                <w:bdr w:val="none" w:color="auto" w:sz="0" w:space="0"/>
                <w:lang w:val="en-US" w:eastAsia="zh-CN" w:bidi="ar"/>
              </w:rPr>
              <w:t>0.5</w:t>
            </w:r>
            <w:r>
              <w:rPr>
                <w:rFonts w:hint="eastAsia" w:ascii="Calibri" w:hAnsi="Calibri" w:eastAsia="宋体" w:cs="宋体"/>
                <w:kern w:val="2"/>
                <w:sz w:val="22"/>
                <w:szCs w:val="21"/>
                <w:bdr w:val="none" w:color="auto" w:sz="0" w:space="0"/>
                <w:lang w:val="en-US" w:eastAsia="zh-CN" w:bidi="ar"/>
              </w:rPr>
              <w:t>米、高</w:t>
            </w:r>
            <w:r>
              <w:rPr>
                <w:rFonts w:hint="default" w:ascii="Calibri" w:hAnsi="Calibri" w:eastAsia="宋体" w:cs="Times New Roman"/>
                <w:kern w:val="2"/>
                <w:sz w:val="22"/>
                <w:szCs w:val="21"/>
                <w:bdr w:val="none" w:color="auto" w:sz="0" w:space="0"/>
                <w:lang w:val="en-US" w:eastAsia="zh-CN" w:bidi="ar"/>
              </w:rPr>
              <w:t>2</w:t>
            </w:r>
            <w:r>
              <w:rPr>
                <w:rFonts w:hint="eastAsia" w:ascii="Calibri" w:hAnsi="Calibri" w:eastAsia="宋体" w:cs="宋体"/>
                <w:kern w:val="2"/>
                <w:sz w:val="22"/>
                <w:szCs w:val="21"/>
                <w:bdr w:val="none" w:color="auto" w:sz="0" w:space="0"/>
                <w:lang w:val="en-US" w:eastAsia="zh-CN" w:bidi="ar"/>
              </w:rPr>
              <w:t>米），层数：</w:t>
            </w:r>
            <w:r>
              <w:rPr>
                <w:rFonts w:hint="default" w:ascii="Calibri" w:hAnsi="Calibri" w:eastAsia="宋体" w:cs="Times New Roman"/>
                <w:kern w:val="2"/>
                <w:sz w:val="22"/>
                <w:szCs w:val="21"/>
                <w:bdr w:val="none" w:color="auto" w:sz="0" w:space="0"/>
                <w:lang w:val="en-US" w:eastAsia="zh-CN" w:bidi="ar"/>
              </w:rPr>
              <w:t>4</w:t>
            </w:r>
            <w:r>
              <w:rPr>
                <w:rFonts w:hint="eastAsia" w:ascii="Calibri" w:hAnsi="Calibri" w:eastAsia="宋体" w:cs="宋体"/>
                <w:kern w:val="2"/>
                <w:sz w:val="22"/>
                <w:szCs w:val="21"/>
                <w:bdr w:val="none" w:color="auto" w:sz="0" w:space="0"/>
                <w:lang w:val="en-US" w:eastAsia="zh-CN" w:bidi="ar"/>
              </w:rPr>
              <w:t>层，每层载重：≥</w:t>
            </w:r>
            <w:r>
              <w:rPr>
                <w:rFonts w:hint="default" w:ascii="Calibri" w:hAnsi="Calibri" w:eastAsia="宋体" w:cs="Times New Roman"/>
                <w:kern w:val="2"/>
                <w:sz w:val="22"/>
                <w:szCs w:val="21"/>
                <w:bdr w:val="none" w:color="auto" w:sz="0" w:space="0"/>
                <w:lang w:val="en-US" w:eastAsia="zh-CN" w:bidi="ar"/>
              </w:rPr>
              <w:t>400Kg</w:t>
            </w:r>
            <w:r>
              <w:rPr>
                <w:rFonts w:hint="eastAsia" w:ascii="Calibri" w:hAnsi="Calibri" w:eastAsia="宋体" w:cs="宋体"/>
                <w:kern w:val="2"/>
                <w:sz w:val="22"/>
                <w:szCs w:val="21"/>
                <w:bdr w:val="none" w:color="auto" w:sz="0" w:space="0"/>
                <w:lang w:val="en-US" w:eastAsia="zh-CN" w:bidi="ar"/>
              </w:rPr>
              <w:t>。</w:t>
            </w:r>
          </w:p>
          <w:p w14:paraId="70C43228">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8</w:t>
            </w:r>
            <w:r>
              <w:rPr>
                <w:rFonts w:hint="eastAsia" w:ascii="Calibri" w:hAnsi="Calibri" w:eastAsia="宋体" w:cs="宋体"/>
                <w:kern w:val="2"/>
                <w:sz w:val="22"/>
                <w:szCs w:val="21"/>
                <w:bdr w:val="none" w:color="auto" w:sz="0" w:space="0"/>
                <w:lang w:val="en-US" w:eastAsia="zh-CN" w:bidi="ar"/>
              </w:rPr>
              <w:t>）洁净室内配置</w:t>
            </w:r>
            <w:r>
              <w:rPr>
                <w:rFonts w:hint="default" w:ascii="Calibri" w:hAnsi="Calibri" w:eastAsia="宋体" w:cs="Times New Roman"/>
                <w:kern w:val="2"/>
                <w:sz w:val="22"/>
                <w:szCs w:val="21"/>
                <w:bdr w:val="none" w:color="auto" w:sz="0" w:space="0"/>
                <w:lang w:val="en-US" w:eastAsia="zh-CN" w:bidi="ar"/>
              </w:rPr>
              <w:t>4</w:t>
            </w:r>
            <w:r>
              <w:rPr>
                <w:rFonts w:hint="eastAsia" w:ascii="Calibri" w:hAnsi="Calibri" w:eastAsia="宋体" w:cs="宋体"/>
                <w:kern w:val="2"/>
                <w:sz w:val="22"/>
                <w:szCs w:val="21"/>
                <w:bdr w:val="none" w:color="auto" w:sz="0" w:space="0"/>
                <w:lang w:val="en-US" w:eastAsia="zh-CN" w:bidi="ar"/>
              </w:rPr>
              <w:t>套重型防静电不锈钢（工作台面</w:t>
            </w:r>
            <w:r>
              <w:rPr>
                <w:rFonts w:hint="default" w:ascii="Calibri" w:hAnsi="Calibri" w:eastAsia="宋体" w:cs="Times New Roman"/>
                <w:kern w:val="2"/>
                <w:sz w:val="22"/>
                <w:szCs w:val="21"/>
                <w:bdr w:val="none" w:color="auto" w:sz="0" w:space="0"/>
                <w:lang w:val="en-US" w:eastAsia="zh-CN" w:bidi="ar"/>
              </w:rPr>
              <w:t>SUS304</w:t>
            </w:r>
            <w:r>
              <w:rPr>
                <w:rFonts w:hint="eastAsia" w:ascii="Calibri" w:hAnsi="Calibri" w:eastAsia="宋体" w:cs="宋体"/>
                <w:kern w:val="2"/>
                <w:sz w:val="22"/>
                <w:szCs w:val="21"/>
                <w:bdr w:val="none" w:color="auto" w:sz="0" w:space="0"/>
                <w:lang w:val="en-US" w:eastAsia="zh-CN" w:bidi="ar"/>
              </w:rPr>
              <w:t>）工作台（尺寸不小于长</w:t>
            </w:r>
            <w:r>
              <w:rPr>
                <w:rFonts w:hint="default" w:ascii="Calibri" w:hAnsi="Calibri" w:eastAsia="宋体" w:cs="Times New Roman"/>
                <w:kern w:val="2"/>
                <w:sz w:val="22"/>
                <w:szCs w:val="21"/>
                <w:bdr w:val="none" w:color="auto" w:sz="0" w:space="0"/>
                <w:lang w:val="en-US" w:eastAsia="zh-CN" w:bidi="ar"/>
              </w:rPr>
              <w:t>2</w:t>
            </w:r>
            <w:r>
              <w:rPr>
                <w:rFonts w:hint="eastAsia" w:ascii="Calibri" w:hAnsi="Calibri" w:eastAsia="宋体" w:cs="宋体"/>
                <w:kern w:val="2"/>
                <w:sz w:val="22"/>
                <w:szCs w:val="21"/>
                <w:bdr w:val="none" w:color="auto" w:sz="0" w:space="0"/>
                <w:lang w:val="en-US" w:eastAsia="zh-CN" w:bidi="ar"/>
              </w:rPr>
              <w:t>米、宽</w:t>
            </w:r>
            <w:r>
              <w:rPr>
                <w:rFonts w:hint="default" w:ascii="Calibri" w:hAnsi="Calibri" w:eastAsia="宋体" w:cs="Times New Roman"/>
                <w:kern w:val="2"/>
                <w:sz w:val="22"/>
                <w:szCs w:val="21"/>
                <w:bdr w:val="none" w:color="auto" w:sz="0" w:space="0"/>
                <w:lang w:val="en-US" w:eastAsia="zh-CN" w:bidi="ar"/>
              </w:rPr>
              <w:t>0.75</w:t>
            </w:r>
            <w:r>
              <w:rPr>
                <w:rFonts w:hint="eastAsia" w:ascii="Calibri" w:hAnsi="Calibri" w:eastAsia="宋体" w:cs="宋体"/>
                <w:kern w:val="2"/>
                <w:sz w:val="22"/>
                <w:szCs w:val="21"/>
                <w:bdr w:val="none" w:color="auto" w:sz="0" w:space="0"/>
                <w:lang w:val="en-US" w:eastAsia="zh-CN" w:bidi="ar"/>
              </w:rPr>
              <w:t>米、高</w:t>
            </w:r>
            <w:r>
              <w:rPr>
                <w:rFonts w:hint="default" w:ascii="Calibri" w:hAnsi="Calibri" w:eastAsia="宋体" w:cs="Times New Roman"/>
                <w:kern w:val="2"/>
                <w:sz w:val="22"/>
                <w:szCs w:val="21"/>
                <w:bdr w:val="none" w:color="auto" w:sz="0" w:space="0"/>
                <w:lang w:val="en-US" w:eastAsia="zh-CN" w:bidi="ar"/>
              </w:rPr>
              <w:t>0.8</w:t>
            </w:r>
            <w:r>
              <w:rPr>
                <w:rFonts w:hint="eastAsia" w:ascii="Calibri" w:hAnsi="Calibri" w:eastAsia="宋体" w:cs="宋体"/>
                <w:kern w:val="2"/>
                <w:sz w:val="22"/>
                <w:szCs w:val="21"/>
                <w:bdr w:val="none" w:color="auto" w:sz="0" w:space="0"/>
                <w:lang w:val="en-US" w:eastAsia="zh-CN" w:bidi="ar"/>
              </w:rPr>
              <w:t>米），配套</w:t>
            </w:r>
            <w:r>
              <w:rPr>
                <w:rFonts w:hint="default" w:ascii="Calibri" w:hAnsi="Calibri" w:eastAsia="宋体" w:cs="Times New Roman"/>
                <w:kern w:val="2"/>
                <w:sz w:val="22"/>
                <w:szCs w:val="21"/>
                <w:bdr w:val="none" w:color="auto" w:sz="0" w:space="0"/>
                <w:lang w:val="en-US" w:eastAsia="zh-CN" w:bidi="ar"/>
              </w:rPr>
              <w:t>10</w:t>
            </w:r>
            <w:r>
              <w:rPr>
                <w:rFonts w:hint="eastAsia" w:ascii="Calibri" w:hAnsi="Calibri" w:eastAsia="宋体" w:cs="宋体"/>
                <w:kern w:val="2"/>
                <w:sz w:val="22"/>
                <w:szCs w:val="21"/>
                <w:bdr w:val="none" w:color="auto" w:sz="0" w:space="0"/>
                <w:lang w:val="en-US" w:eastAsia="zh-CN" w:bidi="ar"/>
              </w:rPr>
              <w:t>把洁净室专用不锈钢凳子（带轮子）。</w:t>
            </w:r>
          </w:p>
          <w:p w14:paraId="2426324D">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9</w:t>
            </w:r>
            <w:r>
              <w:rPr>
                <w:rFonts w:hint="eastAsia" w:ascii="Calibri" w:hAnsi="Calibri" w:eastAsia="宋体" w:cs="宋体"/>
                <w:kern w:val="2"/>
                <w:sz w:val="22"/>
                <w:szCs w:val="21"/>
                <w:bdr w:val="none" w:color="auto" w:sz="0" w:space="0"/>
                <w:lang w:val="en-US" w:eastAsia="zh-CN" w:bidi="ar"/>
              </w:rPr>
              <w:t>）洁净室内配置</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套重型工具柜（可满足万级洁净环境内使用，尺寸不小于高</w:t>
            </w:r>
            <w:r>
              <w:rPr>
                <w:rFonts w:hint="default" w:ascii="Calibri" w:hAnsi="Calibri" w:eastAsia="宋体" w:cs="Times New Roman"/>
                <w:kern w:val="2"/>
                <w:sz w:val="22"/>
                <w:szCs w:val="21"/>
                <w:bdr w:val="none" w:color="auto" w:sz="0" w:space="0"/>
                <w:lang w:val="en-US" w:eastAsia="zh-CN" w:bidi="ar"/>
              </w:rPr>
              <w:t>1.8m</w:t>
            </w:r>
            <w:r>
              <w:rPr>
                <w:rFonts w:hint="eastAsia" w:ascii="Calibri" w:hAnsi="Calibri" w:eastAsia="宋体" w:cs="宋体"/>
                <w:kern w:val="2"/>
                <w:sz w:val="22"/>
                <w:szCs w:val="21"/>
                <w:bdr w:val="none" w:color="auto" w:sz="0" w:space="0"/>
                <w:lang w:val="en-US" w:eastAsia="zh-CN" w:bidi="ar"/>
              </w:rPr>
              <w:t>、宽</w:t>
            </w:r>
            <w:r>
              <w:rPr>
                <w:rFonts w:hint="default" w:ascii="Calibri" w:hAnsi="Calibri" w:eastAsia="宋体" w:cs="Times New Roman"/>
                <w:kern w:val="2"/>
                <w:sz w:val="22"/>
                <w:szCs w:val="21"/>
                <w:bdr w:val="none" w:color="auto" w:sz="0" w:space="0"/>
                <w:lang w:val="en-US" w:eastAsia="zh-CN" w:bidi="ar"/>
              </w:rPr>
              <w:t>1</w:t>
            </w:r>
            <w:r>
              <w:rPr>
                <w:rFonts w:hint="eastAsia" w:ascii="Calibri" w:hAnsi="Calibri" w:eastAsia="宋体" w:cs="宋体"/>
                <w:kern w:val="2"/>
                <w:sz w:val="22"/>
                <w:szCs w:val="21"/>
                <w:bdr w:val="none" w:color="auto" w:sz="0" w:space="0"/>
                <w:lang w:val="en-US" w:eastAsia="zh-CN" w:bidi="ar"/>
              </w:rPr>
              <w:t>米、深</w:t>
            </w:r>
            <w:r>
              <w:rPr>
                <w:rFonts w:hint="default" w:ascii="Calibri" w:hAnsi="Calibri" w:eastAsia="宋体" w:cs="Times New Roman"/>
                <w:kern w:val="2"/>
                <w:sz w:val="22"/>
                <w:szCs w:val="21"/>
                <w:bdr w:val="none" w:color="auto" w:sz="0" w:space="0"/>
                <w:lang w:val="en-US" w:eastAsia="zh-CN" w:bidi="ar"/>
              </w:rPr>
              <w:t>0.5</w:t>
            </w:r>
            <w:r>
              <w:rPr>
                <w:rFonts w:hint="eastAsia" w:ascii="Calibri" w:hAnsi="Calibri" w:eastAsia="宋体" w:cs="宋体"/>
                <w:kern w:val="2"/>
                <w:sz w:val="22"/>
                <w:szCs w:val="21"/>
                <w:bdr w:val="none" w:color="auto" w:sz="0" w:space="0"/>
                <w:lang w:val="en-US" w:eastAsia="zh-CN" w:bidi="ar"/>
              </w:rPr>
              <w:t>米）。</w:t>
            </w:r>
          </w:p>
          <w:p w14:paraId="5431FDC9">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10</w:t>
            </w:r>
            <w:r>
              <w:rPr>
                <w:rFonts w:hint="eastAsia" w:ascii="Calibri" w:hAnsi="Calibri" w:eastAsia="宋体" w:cs="宋体"/>
                <w:kern w:val="2"/>
                <w:sz w:val="22"/>
                <w:szCs w:val="21"/>
                <w:bdr w:val="none" w:color="auto" w:sz="0" w:space="0"/>
                <w:lang w:val="en-US" w:eastAsia="zh-CN" w:bidi="ar"/>
              </w:rPr>
              <w:t>）洁净室动力供配电源来自两处指定供电位置、乙方负责设立横梁立柱等结构性支撑原件，外部桥架采用铝合金材质、各类供气管道系统技术要求等，详见甲方提供附件。</w:t>
            </w:r>
          </w:p>
          <w:p w14:paraId="08B6D209">
            <w:pPr>
              <w:keepNext w:val="0"/>
              <w:keepLines w:val="0"/>
              <w:framePr w:hSpace="180" w:wrap="around" w:vAnchor="text" w:hAnchor="margin" w:xAlign="center" w:y="182"/>
              <w:widowControl w:val="0"/>
              <w:suppressLineNumbers w:val="0"/>
              <w:spacing w:before="0" w:beforeAutospacing="0" w:after="0" w:afterAutospacing="0"/>
              <w:ind w:left="0" w:right="0" w:firstLine="376" w:firstLineChars="171"/>
              <w:jc w:val="both"/>
              <w:rPr>
                <w:sz w:val="22"/>
                <w:szCs w:val="21"/>
                <w:bdr w:val="none" w:color="auto" w:sz="0" w:space="0"/>
                <w:lang w:val="en-US"/>
              </w:rPr>
            </w:pPr>
            <w:r>
              <w:rPr>
                <w:rFonts w:hint="eastAsia" w:ascii="Calibri" w:hAnsi="Calibri" w:eastAsia="宋体" w:cs="宋体"/>
                <w:kern w:val="2"/>
                <w:sz w:val="22"/>
                <w:szCs w:val="21"/>
                <w:bdr w:val="none" w:color="auto" w:sz="0" w:space="0"/>
                <w:lang w:val="en-US" w:eastAsia="zh-CN" w:bidi="ar"/>
              </w:rPr>
              <w:t>（</w:t>
            </w:r>
            <w:r>
              <w:rPr>
                <w:rFonts w:hint="default" w:ascii="Calibri" w:hAnsi="Calibri" w:eastAsia="宋体" w:cs="Times New Roman"/>
                <w:kern w:val="2"/>
                <w:sz w:val="22"/>
                <w:szCs w:val="21"/>
                <w:bdr w:val="none" w:color="auto" w:sz="0" w:space="0"/>
                <w:lang w:val="en-US" w:eastAsia="zh-CN" w:bidi="ar"/>
              </w:rPr>
              <w:t>11</w:t>
            </w:r>
            <w:r>
              <w:rPr>
                <w:rFonts w:hint="eastAsia" w:ascii="Calibri" w:hAnsi="Calibri" w:eastAsia="宋体" w:cs="宋体"/>
                <w:kern w:val="2"/>
                <w:sz w:val="22"/>
                <w:szCs w:val="21"/>
                <w:bdr w:val="none" w:color="auto" w:sz="0" w:space="0"/>
                <w:lang w:val="en-US" w:eastAsia="zh-CN" w:bidi="ar"/>
              </w:rPr>
              <w:t>）设计投产图纸须经甲方审核，双方会签后方可投产，合同签订后</w:t>
            </w:r>
            <w:r>
              <w:rPr>
                <w:rFonts w:hint="default" w:ascii="Calibri" w:hAnsi="Calibri" w:eastAsia="宋体" w:cs="Times New Roman"/>
                <w:kern w:val="2"/>
                <w:sz w:val="22"/>
                <w:szCs w:val="21"/>
                <w:bdr w:val="none" w:color="auto" w:sz="0" w:space="0"/>
                <w:lang w:val="en-US" w:eastAsia="zh-CN" w:bidi="ar"/>
              </w:rPr>
              <w:t>15</w:t>
            </w:r>
            <w:r>
              <w:rPr>
                <w:rFonts w:hint="eastAsia" w:ascii="Calibri" w:hAnsi="Calibri" w:eastAsia="宋体" w:cs="宋体"/>
                <w:kern w:val="2"/>
                <w:sz w:val="22"/>
                <w:szCs w:val="21"/>
                <w:bdr w:val="none" w:color="auto" w:sz="0" w:space="0"/>
                <w:lang w:val="en-US" w:eastAsia="zh-CN" w:bidi="ar"/>
              </w:rPr>
              <w:t>个工作日内完成图纸会签。</w:t>
            </w:r>
          </w:p>
          <w:p w14:paraId="4375EF1A">
            <w:pPr>
              <w:keepNext w:val="0"/>
              <w:keepLines w:val="0"/>
              <w:framePr w:hSpace="180" w:wrap="around" w:vAnchor="text" w:hAnchor="margin" w:xAlign="center" w:y="182"/>
              <w:widowControl w:val="0"/>
              <w:suppressLineNumbers w:val="0"/>
              <w:tabs>
                <w:tab w:val="left" w:pos="6915"/>
              </w:tabs>
              <w:spacing w:before="0" w:beforeAutospacing="0" w:after="0" w:afterAutospacing="0"/>
              <w:ind w:left="0" w:right="0"/>
              <w:jc w:val="left"/>
              <w:rPr>
                <w:rFonts w:hint="eastAsia" w:ascii="宋体" w:hAnsi="宋体" w:eastAsia="宋体" w:cs="宋体"/>
                <w:sz w:val="24"/>
                <w:szCs w:val="24"/>
                <w:bdr w:val="none" w:color="auto" w:sz="0" w:space="0"/>
                <w:lang w:val="en-US"/>
              </w:rPr>
            </w:pPr>
          </w:p>
          <w:p w14:paraId="0CCD819A">
            <w:pPr>
              <w:rPr>
                <w:bCs/>
                <w:sz w:val="24"/>
              </w:rPr>
            </w:pPr>
          </w:p>
        </w:tc>
        <w:tc>
          <w:tcPr>
            <w:tcW w:w="1464" w:type="dxa"/>
            <w:vAlign w:val="center"/>
          </w:tcPr>
          <w:p w14:paraId="205FF5AB">
            <w:pPr>
              <w:spacing w:line="240" w:lineRule="atLeast"/>
              <w:jc w:val="center"/>
            </w:pPr>
          </w:p>
        </w:tc>
        <w:tc>
          <w:tcPr>
            <w:tcW w:w="1023" w:type="dxa"/>
            <w:vAlign w:val="center"/>
          </w:tcPr>
          <w:p w14:paraId="1C60665B">
            <w:pPr>
              <w:spacing w:line="240" w:lineRule="atLeast"/>
              <w:jc w:val="center"/>
            </w:pPr>
          </w:p>
        </w:tc>
      </w:tr>
      <w:tr w14:paraId="497EA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7" w:hRule="atLeast"/>
        </w:trPr>
        <w:tc>
          <w:tcPr>
            <w:tcW w:w="725" w:type="dxa"/>
            <w:vAlign w:val="center"/>
          </w:tcPr>
          <w:p w14:paraId="21D5CC9B">
            <w:pPr>
              <w:spacing w:line="240" w:lineRule="atLeast"/>
              <w:jc w:val="center"/>
            </w:pPr>
            <w:r>
              <w:t>2</w:t>
            </w:r>
          </w:p>
        </w:tc>
        <w:tc>
          <w:tcPr>
            <w:tcW w:w="1143" w:type="dxa"/>
            <w:tcBorders>
              <w:top w:val="single" w:color="auto" w:sz="4" w:space="0"/>
              <w:left w:val="single" w:color="auto" w:sz="4" w:space="0"/>
              <w:bottom w:val="single" w:color="auto" w:sz="4" w:space="0"/>
              <w:right w:val="single" w:color="auto" w:sz="4" w:space="0"/>
            </w:tcBorders>
            <w:shd w:val="clear" w:color="auto" w:fill="auto"/>
            <w:vAlign w:val="center"/>
          </w:tcPr>
          <w:p w14:paraId="2217188C">
            <w:pPr>
              <w:widowControl/>
              <w:spacing w:line="240" w:lineRule="atLeast"/>
              <w:jc w:val="center"/>
            </w:pPr>
            <w:r>
              <w:rPr>
                <w:rFonts w:hint="eastAsia"/>
              </w:rPr>
              <w:t>商务条款</w:t>
            </w:r>
          </w:p>
        </w:tc>
        <w:tc>
          <w:tcPr>
            <w:tcW w:w="5743" w:type="dxa"/>
            <w:tcBorders>
              <w:top w:val="single" w:color="auto" w:sz="4" w:space="0"/>
              <w:left w:val="nil"/>
              <w:bottom w:val="single" w:color="auto" w:sz="4" w:space="0"/>
              <w:right w:val="single" w:color="auto" w:sz="4" w:space="0"/>
            </w:tcBorders>
            <w:shd w:val="clear" w:color="auto" w:fill="auto"/>
            <w:vAlign w:val="center"/>
          </w:tcPr>
          <w:p w14:paraId="497290D8">
            <w:pPr>
              <w:keepNext w:val="0"/>
              <w:keepLines w:val="0"/>
              <w:widowControl w:val="0"/>
              <w:suppressLineNumbers w:val="0"/>
              <w:spacing w:before="0" w:beforeAutospacing="0" w:after="0" w:afterAutospacing="0"/>
              <w:ind w:left="0" w:right="0" w:firstLine="378" w:firstLineChars="171"/>
              <w:jc w:val="both"/>
              <w:rPr>
                <w:sz w:val="22"/>
                <w:szCs w:val="21"/>
                <w:lang w:val="en-US"/>
              </w:rPr>
            </w:pPr>
            <w:r>
              <w:rPr>
                <w:rFonts w:hint="eastAsia" w:ascii="Calibri" w:hAnsi="Calibri" w:eastAsia="宋体" w:cs="宋体"/>
                <w:b/>
                <w:bCs/>
                <w:kern w:val="2"/>
                <w:sz w:val="22"/>
                <w:szCs w:val="21"/>
                <w:lang w:val="en-US" w:eastAsia="zh-CN" w:bidi="ar"/>
              </w:rPr>
              <w:t>交货期：</w:t>
            </w:r>
            <w:r>
              <w:rPr>
                <w:rFonts w:hint="eastAsia" w:ascii="Calibri" w:hAnsi="Calibri" w:eastAsia="宋体" w:cs="宋体"/>
                <w:kern w:val="2"/>
                <w:sz w:val="22"/>
                <w:szCs w:val="21"/>
                <w:lang w:val="en-US" w:eastAsia="zh-CN" w:bidi="ar"/>
              </w:rPr>
              <w:t>合同签订后</w:t>
            </w:r>
            <w:r>
              <w:rPr>
                <w:rFonts w:hint="default" w:ascii="Calibri" w:hAnsi="Calibri" w:eastAsia="宋体" w:cs="Times New Roman"/>
                <w:kern w:val="2"/>
                <w:sz w:val="22"/>
                <w:szCs w:val="21"/>
                <w:lang w:val="en-US" w:eastAsia="zh-CN" w:bidi="ar"/>
              </w:rPr>
              <w:t>30</w:t>
            </w:r>
            <w:r>
              <w:rPr>
                <w:rFonts w:hint="eastAsia" w:ascii="Calibri" w:hAnsi="Calibri" w:eastAsia="宋体" w:cs="宋体"/>
                <w:kern w:val="2"/>
                <w:sz w:val="22"/>
                <w:szCs w:val="21"/>
                <w:lang w:val="en-US" w:eastAsia="zh-CN" w:bidi="ar"/>
              </w:rPr>
              <w:t>个工作日内发货至甲方指定地点，到货后</w:t>
            </w:r>
            <w:r>
              <w:rPr>
                <w:rFonts w:hint="default" w:ascii="Calibri" w:hAnsi="Calibri" w:eastAsia="宋体" w:cs="Times New Roman"/>
                <w:kern w:val="2"/>
                <w:sz w:val="22"/>
                <w:szCs w:val="21"/>
                <w:lang w:val="en-US" w:eastAsia="zh-CN" w:bidi="ar"/>
              </w:rPr>
              <w:t>10</w:t>
            </w:r>
            <w:r>
              <w:rPr>
                <w:rFonts w:hint="eastAsia" w:ascii="Calibri" w:hAnsi="Calibri" w:eastAsia="宋体" w:cs="宋体"/>
                <w:kern w:val="2"/>
                <w:sz w:val="22"/>
                <w:szCs w:val="21"/>
                <w:lang w:val="en-US" w:eastAsia="zh-CN" w:bidi="ar"/>
              </w:rPr>
              <w:t>天内完成现场安装。</w:t>
            </w:r>
          </w:p>
          <w:p w14:paraId="7ADF8AC5">
            <w:pPr>
              <w:keepNext w:val="0"/>
              <w:keepLines w:val="0"/>
              <w:widowControl w:val="0"/>
              <w:suppressLineNumbers w:val="0"/>
              <w:spacing w:before="0" w:beforeAutospacing="0" w:after="0" w:afterAutospacing="0"/>
              <w:ind w:left="0" w:right="0" w:firstLine="378" w:firstLineChars="171"/>
              <w:jc w:val="both"/>
              <w:rPr>
                <w:sz w:val="22"/>
                <w:szCs w:val="21"/>
                <w:lang w:val="en-US"/>
              </w:rPr>
            </w:pPr>
            <w:r>
              <w:rPr>
                <w:rFonts w:hint="eastAsia" w:ascii="Calibri" w:hAnsi="Calibri" w:eastAsia="宋体" w:cs="宋体"/>
                <w:b/>
                <w:bCs/>
                <w:kern w:val="2"/>
                <w:sz w:val="22"/>
                <w:szCs w:val="21"/>
                <w:lang w:val="en-US" w:eastAsia="zh-CN" w:bidi="ar"/>
              </w:rPr>
              <w:t>交付进度：</w:t>
            </w:r>
            <w:r>
              <w:rPr>
                <w:rFonts w:hint="eastAsia" w:ascii="Calibri" w:hAnsi="Calibri" w:eastAsia="宋体" w:cs="宋体"/>
                <w:kern w:val="2"/>
                <w:sz w:val="22"/>
                <w:szCs w:val="21"/>
                <w:lang w:val="en-US" w:eastAsia="zh-CN" w:bidi="ar"/>
              </w:rPr>
              <w:t>合同签订后</w:t>
            </w:r>
            <w:r>
              <w:rPr>
                <w:rFonts w:hint="default" w:ascii="Calibri" w:hAnsi="Calibri" w:eastAsia="宋体" w:cs="Times New Roman"/>
                <w:kern w:val="2"/>
                <w:sz w:val="22"/>
                <w:szCs w:val="21"/>
                <w:lang w:val="en-US" w:eastAsia="zh-CN" w:bidi="ar"/>
              </w:rPr>
              <w:t>30</w:t>
            </w:r>
            <w:r>
              <w:rPr>
                <w:rFonts w:hint="eastAsia" w:ascii="Calibri" w:hAnsi="Calibri" w:eastAsia="宋体" w:cs="宋体"/>
                <w:kern w:val="2"/>
                <w:sz w:val="22"/>
                <w:szCs w:val="21"/>
                <w:lang w:val="en-US" w:eastAsia="zh-CN" w:bidi="ar"/>
              </w:rPr>
              <w:t>个工作日内一次性交付。</w:t>
            </w:r>
          </w:p>
          <w:p w14:paraId="46F1852A">
            <w:pPr>
              <w:keepNext w:val="0"/>
              <w:keepLines w:val="0"/>
              <w:widowControl w:val="0"/>
              <w:suppressLineNumbers w:val="0"/>
              <w:spacing w:before="0" w:beforeAutospacing="0" w:after="0" w:afterAutospacing="0"/>
              <w:ind w:left="0" w:right="0" w:firstLine="378" w:firstLineChars="171"/>
              <w:jc w:val="both"/>
              <w:rPr>
                <w:sz w:val="22"/>
                <w:szCs w:val="21"/>
                <w:lang w:val="en-US"/>
              </w:rPr>
            </w:pPr>
            <w:r>
              <w:rPr>
                <w:rFonts w:hint="eastAsia" w:ascii="Calibri" w:hAnsi="Calibri" w:eastAsia="宋体" w:cs="宋体"/>
                <w:b/>
                <w:bCs/>
                <w:kern w:val="2"/>
                <w:sz w:val="22"/>
                <w:szCs w:val="21"/>
                <w:lang w:val="en-US" w:eastAsia="zh-CN" w:bidi="ar"/>
              </w:rPr>
              <w:t>付款方式：</w:t>
            </w:r>
            <w:r>
              <w:rPr>
                <w:rFonts w:hint="eastAsia" w:ascii="Calibri" w:hAnsi="Calibri" w:eastAsia="宋体" w:cs="宋体"/>
                <w:kern w:val="2"/>
                <w:sz w:val="22"/>
                <w:szCs w:val="21"/>
                <w:lang w:val="en-US" w:eastAsia="zh-CN" w:bidi="ar"/>
              </w:rPr>
              <w:t>合同签订后</w:t>
            </w:r>
            <w:r>
              <w:rPr>
                <w:rFonts w:hint="default" w:ascii="Calibri" w:hAnsi="Calibri" w:eastAsia="宋体" w:cs="Times New Roman"/>
                <w:kern w:val="2"/>
                <w:sz w:val="22"/>
                <w:szCs w:val="21"/>
                <w:lang w:val="en-US" w:eastAsia="zh-CN" w:bidi="ar"/>
              </w:rPr>
              <w:t>20</w:t>
            </w:r>
            <w:r>
              <w:rPr>
                <w:rFonts w:hint="eastAsia" w:ascii="Calibri" w:hAnsi="Calibri" w:eastAsia="宋体" w:cs="宋体"/>
                <w:kern w:val="2"/>
                <w:sz w:val="22"/>
                <w:szCs w:val="21"/>
                <w:lang w:val="en-US" w:eastAsia="zh-CN" w:bidi="ar"/>
              </w:rPr>
              <w:t>个工作日内甲方预付</w:t>
            </w:r>
            <w:r>
              <w:rPr>
                <w:rFonts w:hint="default" w:ascii="Calibri" w:hAnsi="Calibri" w:eastAsia="宋体" w:cs="Times New Roman"/>
                <w:kern w:val="2"/>
                <w:sz w:val="22"/>
                <w:szCs w:val="21"/>
                <w:lang w:val="en-US" w:eastAsia="zh-CN" w:bidi="ar"/>
              </w:rPr>
              <w:t>30%</w:t>
            </w:r>
            <w:r>
              <w:rPr>
                <w:rFonts w:hint="eastAsia" w:ascii="Calibri" w:hAnsi="Calibri" w:eastAsia="宋体" w:cs="宋体"/>
                <w:kern w:val="2"/>
                <w:sz w:val="22"/>
                <w:szCs w:val="21"/>
                <w:lang w:val="en-US" w:eastAsia="zh-CN" w:bidi="ar"/>
              </w:rPr>
              <w:t>合同款。到货验收合格后，由乙方开具发票，甲方在</w:t>
            </w:r>
            <w:r>
              <w:rPr>
                <w:rFonts w:hint="default" w:ascii="Calibri" w:hAnsi="Calibri" w:eastAsia="宋体" w:cs="Times New Roman"/>
                <w:kern w:val="2"/>
                <w:sz w:val="22"/>
                <w:szCs w:val="21"/>
                <w:lang w:val="en-US" w:eastAsia="zh-CN" w:bidi="ar"/>
              </w:rPr>
              <w:t>20</w:t>
            </w:r>
            <w:r>
              <w:rPr>
                <w:rFonts w:hint="eastAsia" w:ascii="Calibri" w:hAnsi="Calibri" w:eastAsia="宋体" w:cs="宋体"/>
                <w:kern w:val="2"/>
                <w:sz w:val="22"/>
                <w:szCs w:val="21"/>
                <w:lang w:val="en-US" w:eastAsia="zh-CN" w:bidi="ar"/>
              </w:rPr>
              <w:t>个工作日内支付剩余</w:t>
            </w:r>
            <w:r>
              <w:rPr>
                <w:rFonts w:hint="default" w:ascii="Calibri" w:hAnsi="Calibri" w:eastAsia="宋体" w:cs="Times New Roman"/>
                <w:kern w:val="2"/>
                <w:sz w:val="22"/>
                <w:szCs w:val="21"/>
                <w:lang w:val="en-US" w:eastAsia="zh-CN" w:bidi="ar"/>
              </w:rPr>
              <w:t>70%</w:t>
            </w:r>
            <w:r>
              <w:rPr>
                <w:rFonts w:hint="eastAsia" w:ascii="Calibri" w:hAnsi="Calibri" w:eastAsia="宋体" w:cs="宋体"/>
                <w:kern w:val="2"/>
                <w:sz w:val="22"/>
                <w:szCs w:val="21"/>
                <w:lang w:val="en-US" w:eastAsia="zh-CN" w:bidi="ar"/>
              </w:rPr>
              <w:t>货款。</w:t>
            </w:r>
          </w:p>
          <w:p w14:paraId="0D00A516">
            <w:pPr>
              <w:keepNext w:val="0"/>
              <w:keepLines w:val="0"/>
              <w:widowControl w:val="0"/>
              <w:suppressLineNumbers w:val="0"/>
              <w:spacing w:before="0" w:beforeAutospacing="0" w:after="0" w:afterAutospacing="0"/>
              <w:ind w:left="0" w:right="0" w:firstLine="378" w:firstLineChars="171"/>
              <w:jc w:val="both"/>
              <w:rPr>
                <w:sz w:val="22"/>
                <w:szCs w:val="21"/>
                <w:lang w:val="en-US"/>
              </w:rPr>
            </w:pPr>
            <w:r>
              <w:rPr>
                <w:rFonts w:hint="eastAsia" w:ascii="Calibri" w:hAnsi="Calibri" w:eastAsia="宋体" w:cs="宋体"/>
                <w:b/>
                <w:bCs/>
                <w:kern w:val="2"/>
                <w:sz w:val="22"/>
                <w:szCs w:val="21"/>
                <w:lang w:val="en-US" w:eastAsia="zh-CN" w:bidi="ar"/>
              </w:rPr>
              <w:t>验收指标及验收要求：</w:t>
            </w:r>
            <w:r>
              <w:rPr>
                <w:rFonts w:hint="eastAsia" w:ascii="Calibri" w:hAnsi="Calibri" w:eastAsia="宋体" w:cs="宋体"/>
                <w:kern w:val="2"/>
                <w:sz w:val="22"/>
                <w:szCs w:val="21"/>
                <w:lang w:val="en-US" w:eastAsia="zh-CN" w:bidi="ar"/>
              </w:rPr>
              <w:t>满足各项指标要求；提供出厂检定报告、产品使用及维护说明书。</w:t>
            </w:r>
          </w:p>
          <w:p w14:paraId="55C41BB8">
            <w:pPr>
              <w:keepNext w:val="0"/>
              <w:keepLines w:val="0"/>
              <w:widowControl w:val="0"/>
              <w:suppressLineNumbers w:val="0"/>
              <w:spacing w:before="0" w:beforeAutospacing="0" w:after="0" w:afterAutospacing="0"/>
              <w:ind w:left="0" w:right="0" w:firstLine="378" w:firstLineChars="171"/>
              <w:jc w:val="both"/>
              <w:rPr>
                <w:rFonts w:hint="eastAsia" w:ascii="宋体" w:hAnsi="宋体"/>
                <w:szCs w:val="21"/>
              </w:rPr>
            </w:pPr>
            <w:r>
              <w:rPr>
                <w:rFonts w:hint="eastAsia" w:ascii="Calibri" w:hAnsi="Calibri" w:eastAsia="宋体" w:cs="宋体"/>
                <w:b/>
                <w:bCs/>
                <w:kern w:val="2"/>
                <w:sz w:val="22"/>
                <w:szCs w:val="21"/>
                <w:lang w:val="en-US" w:eastAsia="zh-CN" w:bidi="ar"/>
              </w:rPr>
              <w:t>保修及售后服务：</w:t>
            </w:r>
            <w:r>
              <w:rPr>
                <w:rFonts w:hint="eastAsia" w:ascii="Calibri" w:hAnsi="Calibri" w:eastAsia="宋体" w:cs="宋体"/>
                <w:kern w:val="2"/>
                <w:sz w:val="22"/>
                <w:szCs w:val="21"/>
                <w:lang w:val="en-US" w:eastAsia="zh-CN" w:bidi="ar"/>
              </w:rPr>
              <w:t>厂家对其所提供设备的免费保修期为</w:t>
            </w:r>
            <w:r>
              <w:rPr>
                <w:rFonts w:hint="default" w:ascii="Calibri" w:hAnsi="Calibri" w:eastAsia="宋体" w:cs="Times New Roman"/>
                <w:kern w:val="2"/>
                <w:sz w:val="22"/>
                <w:szCs w:val="21"/>
                <w:lang w:val="en-US" w:eastAsia="zh-CN" w:bidi="ar"/>
              </w:rPr>
              <w:t>1</w:t>
            </w:r>
            <w:r>
              <w:rPr>
                <w:rFonts w:hint="eastAsia" w:ascii="Calibri" w:hAnsi="Calibri" w:eastAsia="宋体" w:cs="宋体"/>
                <w:kern w:val="2"/>
                <w:sz w:val="22"/>
                <w:szCs w:val="21"/>
                <w:lang w:val="en-US" w:eastAsia="zh-CN" w:bidi="ar"/>
              </w:rPr>
              <w:t>年，同时提供终身维护服务。</w:t>
            </w:r>
          </w:p>
        </w:tc>
        <w:tc>
          <w:tcPr>
            <w:tcW w:w="1464" w:type="dxa"/>
            <w:vAlign w:val="center"/>
          </w:tcPr>
          <w:p w14:paraId="324B1D27">
            <w:pPr>
              <w:spacing w:line="240" w:lineRule="atLeast"/>
              <w:jc w:val="center"/>
            </w:pPr>
          </w:p>
        </w:tc>
        <w:tc>
          <w:tcPr>
            <w:tcW w:w="1023" w:type="dxa"/>
            <w:vAlign w:val="center"/>
          </w:tcPr>
          <w:p w14:paraId="06AA2CA0">
            <w:pPr>
              <w:spacing w:line="240" w:lineRule="atLeast"/>
              <w:jc w:val="center"/>
            </w:pPr>
          </w:p>
        </w:tc>
      </w:tr>
    </w:tbl>
    <w:p w14:paraId="0DED7F3B">
      <w:pPr>
        <w:ind w:right="840" w:firstLine="5040" w:firstLineChars="2100"/>
        <w:rPr>
          <w:sz w:val="24"/>
        </w:rPr>
      </w:pPr>
    </w:p>
    <w:p w14:paraId="6B36AD4F">
      <w:pPr>
        <w:ind w:right="840" w:firstLine="5040" w:firstLineChars="2100"/>
        <w:rPr>
          <w:sz w:val="24"/>
        </w:rPr>
      </w:pPr>
      <w:r>
        <w:rPr>
          <w:sz w:val="24"/>
        </w:rPr>
        <w:t>公司名称</w:t>
      </w:r>
      <w:r>
        <w:rPr>
          <w:rFonts w:hint="eastAsia"/>
          <w:sz w:val="24"/>
        </w:rPr>
        <w:t>（盖章）：</w:t>
      </w:r>
    </w:p>
    <w:p w14:paraId="2BA3965A">
      <w:pPr>
        <w:ind w:right="840"/>
        <w:jc w:val="center"/>
        <w:rPr>
          <w:sz w:val="24"/>
        </w:rPr>
      </w:pPr>
      <w:r>
        <w:rPr>
          <w:rFonts w:hint="eastAsia"/>
          <w:sz w:val="24"/>
        </w:rPr>
        <w:t xml:space="preserve"> </w:t>
      </w:r>
      <w:r>
        <w:rPr>
          <w:sz w:val="24"/>
        </w:rPr>
        <w:t xml:space="preserve">                            日期</w:t>
      </w:r>
      <w:r>
        <w:rPr>
          <w:rFonts w:hint="eastAsia"/>
          <w:sz w:val="24"/>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YaHei">
    <w:altName w:val="宋体"/>
    <w:panose1 w:val="00000000000000000000"/>
    <w:charset w:val="86"/>
    <w:family w:val="roman"/>
    <w:pitch w:val="default"/>
    <w:sig w:usb0="00000000" w:usb1="00000000" w:usb2="00000000" w:usb3="00000000" w:csb0="00000000" w:csb1="00000000"/>
  </w:font>
  <w:font w:name="Cambria Math">
    <w:panose1 w:val="02040503050406030204"/>
    <w:charset w:val="00"/>
    <w:family w:val="auto"/>
    <w:pitch w:val="variable"/>
    <w:sig w:usb0="E00006FF" w:usb1="420024FF" w:usb2="02000000" w:usb3="00000000" w:csb0="2000019F"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437"/>
    <w:rsid w:val="000110C4"/>
    <w:rsid w:val="00015CB8"/>
    <w:rsid w:val="00020783"/>
    <w:rsid w:val="00050922"/>
    <w:rsid w:val="00086882"/>
    <w:rsid w:val="00090223"/>
    <w:rsid w:val="00091C8D"/>
    <w:rsid w:val="000E54CE"/>
    <w:rsid w:val="00102C13"/>
    <w:rsid w:val="00123779"/>
    <w:rsid w:val="001501D1"/>
    <w:rsid w:val="001548E0"/>
    <w:rsid w:val="00180627"/>
    <w:rsid w:val="001B219D"/>
    <w:rsid w:val="001D3367"/>
    <w:rsid w:val="002026B2"/>
    <w:rsid w:val="002212AC"/>
    <w:rsid w:val="00261EE1"/>
    <w:rsid w:val="00267E42"/>
    <w:rsid w:val="002D1729"/>
    <w:rsid w:val="002E518A"/>
    <w:rsid w:val="003009AA"/>
    <w:rsid w:val="00363C73"/>
    <w:rsid w:val="003923FC"/>
    <w:rsid w:val="003C2330"/>
    <w:rsid w:val="003C7C5A"/>
    <w:rsid w:val="004626C3"/>
    <w:rsid w:val="004973C3"/>
    <w:rsid w:val="004B0D2F"/>
    <w:rsid w:val="00516FB3"/>
    <w:rsid w:val="00547A75"/>
    <w:rsid w:val="00584F75"/>
    <w:rsid w:val="005C4758"/>
    <w:rsid w:val="005E2C0C"/>
    <w:rsid w:val="005F7E7B"/>
    <w:rsid w:val="00630F8F"/>
    <w:rsid w:val="00642CDA"/>
    <w:rsid w:val="00670B3D"/>
    <w:rsid w:val="006C07B4"/>
    <w:rsid w:val="006D67E0"/>
    <w:rsid w:val="00705387"/>
    <w:rsid w:val="00720BC4"/>
    <w:rsid w:val="007230C5"/>
    <w:rsid w:val="00731AE1"/>
    <w:rsid w:val="00744E8E"/>
    <w:rsid w:val="00750961"/>
    <w:rsid w:val="00757D88"/>
    <w:rsid w:val="00763EDD"/>
    <w:rsid w:val="007B2AE3"/>
    <w:rsid w:val="00811B08"/>
    <w:rsid w:val="00825420"/>
    <w:rsid w:val="00832C3E"/>
    <w:rsid w:val="00841F33"/>
    <w:rsid w:val="00872767"/>
    <w:rsid w:val="00877DA3"/>
    <w:rsid w:val="008A717C"/>
    <w:rsid w:val="008D62B6"/>
    <w:rsid w:val="008E3DB8"/>
    <w:rsid w:val="008F0FFC"/>
    <w:rsid w:val="008F5C2B"/>
    <w:rsid w:val="009149BA"/>
    <w:rsid w:val="00961437"/>
    <w:rsid w:val="00995429"/>
    <w:rsid w:val="00996AC3"/>
    <w:rsid w:val="009B6E26"/>
    <w:rsid w:val="009C3224"/>
    <w:rsid w:val="009C4C31"/>
    <w:rsid w:val="009E2F9A"/>
    <w:rsid w:val="009F5C3A"/>
    <w:rsid w:val="00A01094"/>
    <w:rsid w:val="00A11447"/>
    <w:rsid w:val="00A20D98"/>
    <w:rsid w:val="00A27625"/>
    <w:rsid w:val="00A44E8A"/>
    <w:rsid w:val="00A533CA"/>
    <w:rsid w:val="00A66F06"/>
    <w:rsid w:val="00A7013F"/>
    <w:rsid w:val="00A8112C"/>
    <w:rsid w:val="00AC1D37"/>
    <w:rsid w:val="00AC67EF"/>
    <w:rsid w:val="00AF7A8B"/>
    <w:rsid w:val="00B0175F"/>
    <w:rsid w:val="00B04741"/>
    <w:rsid w:val="00B311D0"/>
    <w:rsid w:val="00B64004"/>
    <w:rsid w:val="00B7785A"/>
    <w:rsid w:val="00B90DC2"/>
    <w:rsid w:val="00B971DE"/>
    <w:rsid w:val="00BA1B3F"/>
    <w:rsid w:val="00BC2767"/>
    <w:rsid w:val="00BD701B"/>
    <w:rsid w:val="00C102A3"/>
    <w:rsid w:val="00C1298E"/>
    <w:rsid w:val="00C26D9F"/>
    <w:rsid w:val="00C420C3"/>
    <w:rsid w:val="00C442AD"/>
    <w:rsid w:val="00CA3288"/>
    <w:rsid w:val="00CA3E3B"/>
    <w:rsid w:val="00D011DC"/>
    <w:rsid w:val="00D04097"/>
    <w:rsid w:val="00D16AC0"/>
    <w:rsid w:val="00D24D09"/>
    <w:rsid w:val="00D72E1E"/>
    <w:rsid w:val="00D81354"/>
    <w:rsid w:val="00DA7BF9"/>
    <w:rsid w:val="00E00131"/>
    <w:rsid w:val="00E0215E"/>
    <w:rsid w:val="00E147A9"/>
    <w:rsid w:val="00E5012E"/>
    <w:rsid w:val="00E762FD"/>
    <w:rsid w:val="00E930C8"/>
    <w:rsid w:val="00EA412A"/>
    <w:rsid w:val="00EA6BA9"/>
    <w:rsid w:val="00EB6FB2"/>
    <w:rsid w:val="00EC5A9D"/>
    <w:rsid w:val="00F02F94"/>
    <w:rsid w:val="00F26580"/>
    <w:rsid w:val="00F347F0"/>
    <w:rsid w:val="00F34AE9"/>
    <w:rsid w:val="00F357B0"/>
    <w:rsid w:val="00F43549"/>
    <w:rsid w:val="00F50B62"/>
    <w:rsid w:val="00F70F95"/>
    <w:rsid w:val="00F82AA6"/>
    <w:rsid w:val="00F855E3"/>
    <w:rsid w:val="00FA453C"/>
    <w:rsid w:val="00FC7C08"/>
    <w:rsid w:val="00FE15FA"/>
    <w:rsid w:val="00FF78CF"/>
    <w:rsid w:val="0279069A"/>
    <w:rsid w:val="093C12EB"/>
    <w:rsid w:val="2D070EC5"/>
    <w:rsid w:val="325F18FA"/>
    <w:rsid w:val="3D3202BD"/>
    <w:rsid w:val="468B21C7"/>
    <w:rsid w:val="46BF17AE"/>
    <w:rsid w:val="48EB0E6F"/>
    <w:rsid w:val="70E72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Times New Roman"/>
      <w:sz w:val="20"/>
      <w:szCs w:val="20"/>
    </w:rPr>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line="278" w:lineRule="auto"/>
      <w:jc w:val="left"/>
    </w:pPr>
    <w:rPr>
      <w:rFonts w:ascii="Times New Roman" w:hAnsi="Times New Roman" w:eastAsia="宋体" w:cs="Times New Roman"/>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fontstyle01"/>
    <w:basedOn w:val="7"/>
    <w:qFormat/>
    <w:uiPriority w:val="0"/>
    <w:rPr>
      <w:rFonts w:hint="default" w:ascii="MicrosoftYaHei" w:hAnsi="MicrosoftYaHei"/>
      <w:color w:val="000000"/>
      <w:sz w:val="22"/>
      <w:szCs w:val="22"/>
    </w:rPr>
  </w:style>
  <w:style w:type="character" w:customStyle="1" w:styleId="9">
    <w:name w:val="页眉 字符"/>
    <w:basedOn w:val="7"/>
    <w:link w:val="3"/>
    <w:qFormat/>
    <w:uiPriority w:val="99"/>
    <w:rPr>
      <w:sz w:val="18"/>
      <w:szCs w:val="18"/>
    </w:rPr>
  </w:style>
  <w:style w:type="character" w:customStyle="1" w:styleId="10">
    <w:name w:val="页脚 字符"/>
    <w:basedOn w:val="7"/>
    <w:link w:val="2"/>
    <w:qFormat/>
    <w:uiPriority w:val="99"/>
    <w:rPr>
      <w:sz w:val="18"/>
      <w:szCs w:val="18"/>
    </w:rPr>
  </w:style>
  <w:style w:type="paragraph" w:styleId="11">
    <w:name w:val="List Paragraph"/>
    <w:basedOn w:val="1"/>
    <w:autoRedefine/>
    <w:qFormat/>
    <w:uiPriority w:val="99"/>
    <w:pPr>
      <w:tabs>
        <w:tab w:val="left" w:pos="1428"/>
      </w:tabs>
      <w:ind w:firstLine="420" w:firstLineChars="200"/>
      <w:jc w:val="left"/>
    </w:pPr>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3</Pages>
  <Words>1552</Words>
  <Characters>2028</Characters>
  <Lines>5</Lines>
  <Paragraphs>1</Paragraphs>
  <TotalTime>1</TotalTime>
  <ScaleCrop>false</ScaleCrop>
  <LinksUpToDate>false</LinksUpToDate>
  <CharactersWithSpaces>2097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2024-07-15T01:36:00Z</dcterms:created>
  <dc:creator>China</dc:creator>
  <cp:lastModifiedBy>陈文佳</cp:lastModifiedBy>
  <dcterms:modified xsi:type="dcterms:W3CDTF">2026-01-15T06:58:17Z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eyJoZGlkIjoiN2RlYWI4ZWUzNTBhNTYxZTE1ZDI0ZDliNjg4YTQ3ZjIiLCJ1c2VySWQiOiIxNzc0OTA2Mjk1In0=</vt:lpwstr>
  </property>
  <property fmtid="{D5CDD505-2E9C-101B-9397-08002B2CF9AE}" pid="3" name="KSOProductBuildVer">
    <vt:lpwstr>2052-12.1.0.23542</vt:lpwstr>
  </property>
  <property fmtid="{D5CDD505-2E9C-101B-9397-08002B2CF9AE}" pid="4" name="ICV">
    <vt:lpwstr>20B1B4D6E71F47CB8E65CCEFBC87FC75_12</vt:lpwstr>
  </property>
</Properties>
</file>