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22"/>
        <w:gridCol w:w="5244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422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5244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0FD52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激光器</w:t>
            </w:r>
          </w:p>
        </w:tc>
        <w:tc>
          <w:tcPr>
            <w:tcW w:w="5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543B799">
            <w:pPr>
              <w:tabs>
                <w:tab w:val="left" w:pos="6915"/>
              </w:tabs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合肥先进光源</w:t>
            </w:r>
            <w:r>
              <w:rPr>
                <w:rFonts w:hint="eastAsia"/>
                <w:bCs/>
                <w:szCs w:val="21"/>
              </w:rPr>
              <w:t>BL09中能显微谱学成像线站新增一套超分辨光学荧光成像系统，开展超分辨光学荧光成像，将荧光信号与X射线成像所获得的超微结构相关联，对于研究细胞功能与结构之间的关系具有重要意义。拟采购1台波长为4</w:t>
            </w:r>
            <w:r>
              <w:rPr>
                <w:bCs/>
                <w:szCs w:val="21"/>
              </w:rPr>
              <w:t xml:space="preserve">05 </w:t>
            </w:r>
            <w:r>
              <w:rPr>
                <w:rFonts w:hint="eastAsia"/>
                <w:bCs/>
                <w:szCs w:val="21"/>
              </w:rPr>
              <w:t>nm和1台波长为4</w:t>
            </w:r>
            <w:r>
              <w:rPr>
                <w:bCs/>
                <w:szCs w:val="21"/>
              </w:rPr>
              <w:t>88 nm</w:t>
            </w:r>
            <w:r>
              <w:rPr>
                <w:rFonts w:hint="eastAsia"/>
                <w:bCs/>
                <w:szCs w:val="21"/>
              </w:rPr>
              <w:t>的激光器作为荧光分子激发源。</w:t>
            </w:r>
          </w:p>
          <w:p w14:paraId="2E84D032">
            <w:pPr>
              <w:tabs>
                <w:tab w:val="left" w:pos="6915"/>
              </w:tabs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主要指标要求:</w:t>
            </w:r>
          </w:p>
          <w:tbl>
            <w:tblPr>
              <w:tblStyle w:val="6"/>
              <w:tblW w:w="5079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33"/>
              <w:gridCol w:w="1723"/>
              <w:gridCol w:w="1723"/>
            </w:tblGrid>
            <w:tr w14:paraId="0E8E03E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7" w:hRule="atLeast"/>
                <w:jc w:val="center"/>
              </w:trPr>
              <w:tc>
                <w:tcPr>
                  <w:tcW w:w="1633" w:type="dxa"/>
                </w:tcPr>
                <w:p w14:paraId="091D7506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指标要求</w:t>
                  </w:r>
                </w:p>
              </w:tc>
              <w:tc>
                <w:tcPr>
                  <w:tcW w:w="1723" w:type="dxa"/>
                </w:tcPr>
                <w:p w14:paraId="4A1F20B9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4</w:t>
                  </w:r>
                  <w:r>
                    <w:rPr>
                      <w:bCs/>
                      <w:szCs w:val="21"/>
                    </w:rPr>
                    <w:t xml:space="preserve">05 </w:t>
                  </w:r>
                  <w:r>
                    <w:rPr>
                      <w:rFonts w:hint="eastAsia"/>
                      <w:bCs/>
                      <w:szCs w:val="21"/>
                    </w:rPr>
                    <w:t>nm激光器</w:t>
                  </w:r>
                </w:p>
              </w:tc>
              <w:tc>
                <w:tcPr>
                  <w:tcW w:w="1723" w:type="dxa"/>
                </w:tcPr>
                <w:p w14:paraId="2737463B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bCs/>
                      <w:szCs w:val="21"/>
                    </w:rPr>
                    <w:t xml:space="preserve">488 </w:t>
                  </w:r>
                  <w:r>
                    <w:rPr>
                      <w:rFonts w:hint="eastAsia"/>
                      <w:bCs/>
                      <w:szCs w:val="21"/>
                    </w:rPr>
                    <w:t>nm激光器</w:t>
                  </w:r>
                </w:p>
              </w:tc>
            </w:tr>
            <w:tr w14:paraId="595DEF2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7" w:hRule="atLeast"/>
                <w:jc w:val="center"/>
              </w:trPr>
              <w:tc>
                <w:tcPr>
                  <w:tcW w:w="1633" w:type="dxa"/>
                </w:tcPr>
                <w:p w14:paraId="7939614D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中心波长</w:t>
                  </w:r>
                </w:p>
              </w:tc>
              <w:tc>
                <w:tcPr>
                  <w:tcW w:w="1723" w:type="dxa"/>
                </w:tcPr>
                <w:p w14:paraId="2956CEBF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4</w:t>
                  </w:r>
                  <w:r>
                    <w:rPr>
                      <w:bCs/>
                      <w:szCs w:val="21"/>
                    </w:rPr>
                    <w:t>05</w:t>
                  </w:r>
                  <w:r>
                    <w:rPr>
                      <w:rFonts w:hint="eastAsia"/>
                      <w:bCs/>
                      <w:szCs w:val="21"/>
                    </w:rPr>
                    <w:t>±</w:t>
                  </w:r>
                  <w:r>
                    <w:rPr>
                      <w:bCs/>
                      <w:szCs w:val="21"/>
                    </w:rPr>
                    <w:t>5 nm</w:t>
                  </w:r>
                </w:p>
              </w:tc>
              <w:tc>
                <w:tcPr>
                  <w:tcW w:w="1723" w:type="dxa"/>
                </w:tcPr>
                <w:p w14:paraId="02462DF6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4</w:t>
                  </w:r>
                  <w:r>
                    <w:rPr>
                      <w:bCs/>
                      <w:szCs w:val="21"/>
                    </w:rPr>
                    <w:t>88</w:t>
                  </w:r>
                  <w:r>
                    <w:rPr>
                      <w:rFonts w:hint="eastAsia"/>
                      <w:bCs/>
                      <w:szCs w:val="21"/>
                    </w:rPr>
                    <w:t>±</w:t>
                  </w:r>
                  <w:r>
                    <w:rPr>
                      <w:bCs/>
                      <w:szCs w:val="21"/>
                    </w:rPr>
                    <w:t>5 nm</w:t>
                  </w:r>
                </w:p>
              </w:tc>
            </w:tr>
            <w:tr w14:paraId="5B22D7A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7" w:hRule="atLeast"/>
                <w:jc w:val="center"/>
              </w:trPr>
              <w:tc>
                <w:tcPr>
                  <w:tcW w:w="1633" w:type="dxa"/>
                </w:tcPr>
                <w:p w14:paraId="03ACEBF7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出光口处光束直径</w:t>
                  </w:r>
                </w:p>
              </w:tc>
              <w:tc>
                <w:tcPr>
                  <w:tcW w:w="1723" w:type="dxa"/>
                </w:tcPr>
                <w:p w14:paraId="1BE514B6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≤</w:t>
                  </w:r>
                  <w:r>
                    <w:rPr>
                      <w:bCs/>
                      <w:szCs w:val="21"/>
                    </w:rPr>
                    <w:t xml:space="preserve">1.5 </w:t>
                  </w:r>
                  <w:r>
                    <w:rPr>
                      <w:rFonts w:hint="eastAsia"/>
                      <w:bCs/>
                      <w:szCs w:val="21"/>
                    </w:rPr>
                    <w:t>mm</w:t>
                  </w:r>
                </w:p>
              </w:tc>
              <w:tc>
                <w:tcPr>
                  <w:tcW w:w="1723" w:type="dxa"/>
                </w:tcPr>
                <w:p w14:paraId="3E584383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≤</w:t>
                  </w:r>
                  <w:r>
                    <w:rPr>
                      <w:bCs/>
                      <w:szCs w:val="21"/>
                    </w:rPr>
                    <w:t xml:space="preserve">1.5 </w:t>
                  </w:r>
                  <w:r>
                    <w:rPr>
                      <w:rFonts w:hint="eastAsia"/>
                      <w:bCs/>
                      <w:szCs w:val="21"/>
                    </w:rPr>
                    <w:t>mm</w:t>
                  </w:r>
                </w:p>
              </w:tc>
            </w:tr>
            <w:tr w14:paraId="2F27405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7" w:hRule="atLeast"/>
                <w:jc w:val="center"/>
              </w:trPr>
              <w:tc>
                <w:tcPr>
                  <w:tcW w:w="1633" w:type="dxa"/>
                </w:tcPr>
                <w:p w14:paraId="62B8CE94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工作模式</w:t>
                  </w:r>
                </w:p>
              </w:tc>
              <w:tc>
                <w:tcPr>
                  <w:tcW w:w="1723" w:type="dxa"/>
                </w:tcPr>
                <w:p w14:paraId="66D9EF96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连续工作模式C</w:t>
                  </w:r>
                  <w:r>
                    <w:rPr>
                      <w:bCs/>
                      <w:szCs w:val="21"/>
                    </w:rPr>
                    <w:t>W</w:t>
                  </w:r>
                </w:p>
              </w:tc>
              <w:tc>
                <w:tcPr>
                  <w:tcW w:w="1723" w:type="dxa"/>
                </w:tcPr>
                <w:p w14:paraId="51C935F1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连续工作模式C</w:t>
                  </w:r>
                  <w:r>
                    <w:rPr>
                      <w:bCs/>
                      <w:szCs w:val="21"/>
                    </w:rPr>
                    <w:t>W</w:t>
                  </w:r>
                </w:p>
              </w:tc>
            </w:tr>
            <w:tr w14:paraId="4422C17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7" w:hRule="atLeast"/>
                <w:jc w:val="center"/>
              </w:trPr>
              <w:tc>
                <w:tcPr>
                  <w:tcW w:w="1633" w:type="dxa"/>
                </w:tcPr>
                <w:p w14:paraId="0FDBD84B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最大输出功率</w:t>
                  </w:r>
                </w:p>
              </w:tc>
              <w:tc>
                <w:tcPr>
                  <w:tcW w:w="1723" w:type="dxa"/>
                </w:tcPr>
                <w:p w14:paraId="00057FCE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≥3</w:t>
                  </w:r>
                  <w:r>
                    <w:rPr>
                      <w:bCs/>
                      <w:szCs w:val="21"/>
                    </w:rPr>
                    <w:t xml:space="preserve">0 </w:t>
                  </w:r>
                  <w:r>
                    <w:rPr>
                      <w:rFonts w:hint="eastAsia"/>
                      <w:bCs/>
                      <w:szCs w:val="21"/>
                    </w:rPr>
                    <w:t>m</w:t>
                  </w:r>
                  <w:r>
                    <w:rPr>
                      <w:bCs/>
                      <w:szCs w:val="21"/>
                    </w:rPr>
                    <w:t>W</w:t>
                  </w:r>
                </w:p>
              </w:tc>
              <w:tc>
                <w:tcPr>
                  <w:tcW w:w="1723" w:type="dxa"/>
                </w:tcPr>
                <w:p w14:paraId="6E04AB0B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≥</w:t>
                  </w:r>
                  <w:r>
                    <w:rPr>
                      <w:bCs/>
                      <w:szCs w:val="21"/>
                    </w:rPr>
                    <w:t xml:space="preserve">150 </w:t>
                  </w:r>
                  <w:r>
                    <w:rPr>
                      <w:rFonts w:hint="eastAsia"/>
                      <w:bCs/>
                      <w:szCs w:val="21"/>
                    </w:rPr>
                    <w:t>m</w:t>
                  </w:r>
                  <w:r>
                    <w:rPr>
                      <w:bCs/>
                      <w:szCs w:val="21"/>
                    </w:rPr>
                    <w:t>W</w:t>
                  </w:r>
                </w:p>
              </w:tc>
            </w:tr>
            <w:tr w14:paraId="5CAAB76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4" w:hRule="atLeast"/>
                <w:jc w:val="center"/>
              </w:trPr>
              <w:tc>
                <w:tcPr>
                  <w:tcW w:w="1633" w:type="dxa"/>
                </w:tcPr>
                <w:p w14:paraId="04645B88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功率稳定性</w:t>
                  </w:r>
                  <w:r>
                    <w:rPr>
                      <w:bCs/>
                      <w:szCs w:val="21"/>
                    </w:rPr>
                    <w:t>(rms, 4 hours ± 3°C)</w:t>
                  </w:r>
                </w:p>
              </w:tc>
              <w:tc>
                <w:tcPr>
                  <w:tcW w:w="1723" w:type="dxa"/>
                </w:tcPr>
                <w:p w14:paraId="19182276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&lt;</w:t>
                  </w:r>
                  <w:r>
                    <w:rPr>
                      <w:bCs/>
                      <w:szCs w:val="21"/>
                    </w:rPr>
                    <w:t>1%</w:t>
                  </w:r>
                </w:p>
              </w:tc>
              <w:tc>
                <w:tcPr>
                  <w:tcW w:w="1723" w:type="dxa"/>
                </w:tcPr>
                <w:p w14:paraId="4DEEC93B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&lt;</w:t>
                  </w:r>
                  <w:r>
                    <w:rPr>
                      <w:bCs/>
                      <w:szCs w:val="21"/>
                    </w:rPr>
                    <w:t>1%</w:t>
                  </w:r>
                </w:p>
              </w:tc>
            </w:tr>
            <w:tr w14:paraId="5635E67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7" w:hRule="atLeast"/>
                <w:jc w:val="center"/>
              </w:trPr>
              <w:tc>
                <w:tcPr>
                  <w:tcW w:w="1633" w:type="dxa"/>
                </w:tcPr>
                <w:p w14:paraId="1C4A8B2A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bookmarkStart w:id="0" w:name="_Hlk220591463"/>
                  <w:r>
                    <w:rPr>
                      <w:rFonts w:hint="eastAsia"/>
                      <w:bCs/>
                      <w:szCs w:val="21"/>
                    </w:rPr>
                    <w:t>M</w:t>
                  </w:r>
                  <w:r>
                    <w:rPr>
                      <w:bCs/>
                      <w:szCs w:val="21"/>
                      <w:vertAlign w:val="superscript"/>
                    </w:rPr>
                    <w:t>2</w:t>
                  </w:r>
                </w:p>
              </w:tc>
              <w:tc>
                <w:tcPr>
                  <w:tcW w:w="1723" w:type="dxa"/>
                </w:tcPr>
                <w:p w14:paraId="72C98C31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＜1</w:t>
                  </w:r>
                  <w:r>
                    <w:rPr>
                      <w:bCs/>
                      <w:szCs w:val="21"/>
                    </w:rPr>
                    <w:t>.1</w:t>
                  </w:r>
                </w:p>
              </w:tc>
              <w:tc>
                <w:tcPr>
                  <w:tcW w:w="1723" w:type="dxa"/>
                </w:tcPr>
                <w:p w14:paraId="39142E02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＜1</w:t>
                  </w:r>
                  <w:r>
                    <w:rPr>
                      <w:bCs/>
                      <w:szCs w:val="21"/>
                    </w:rPr>
                    <w:t>.1</w:t>
                  </w:r>
                </w:p>
              </w:tc>
            </w:tr>
            <w:tr w14:paraId="0B9DA4A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7" w:hRule="atLeast"/>
                <w:jc w:val="center"/>
              </w:trPr>
              <w:tc>
                <w:tcPr>
                  <w:tcW w:w="1633" w:type="dxa"/>
                </w:tcPr>
                <w:p w14:paraId="6CD6E746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横模</w:t>
                  </w:r>
                </w:p>
              </w:tc>
              <w:tc>
                <w:tcPr>
                  <w:tcW w:w="1723" w:type="dxa"/>
                </w:tcPr>
                <w:p w14:paraId="0B73614B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T</w:t>
                  </w:r>
                  <w:r>
                    <w:rPr>
                      <w:bCs/>
                      <w:szCs w:val="21"/>
                    </w:rPr>
                    <w:t>EM</w:t>
                  </w:r>
                  <w:r>
                    <w:rPr>
                      <w:bCs/>
                      <w:szCs w:val="21"/>
                      <w:vertAlign w:val="subscript"/>
                    </w:rPr>
                    <w:t>00</w:t>
                  </w:r>
                </w:p>
              </w:tc>
              <w:tc>
                <w:tcPr>
                  <w:tcW w:w="1723" w:type="dxa"/>
                </w:tcPr>
                <w:p w14:paraId="64682D45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T</w:t>
                  </w:r>
                  <w:r>
                    <w:rPr>
                      <w:bCs/>
                      <w:szCs w:val="21"/>
                    </w:rPr>
                    <w:t>EM</w:t>
                  </w:r>
                  <w:r>
                    <w:rPr>
                      <w:bCs/>
                      <w:szCs w:val="21"/>
                      <w:vertAlign w:val="subscript"/>
                    </w:rPr>
                    <w:t>00</w:t>
                  </w:r>
                </w:p>
              </w:tc>
            </w:tr>
            <w:tr w14:paraId="2DBA93E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7" w:hRule="atLeast"/>
                <w:jc w:val="center"/>
              </w:trPr>
              <w:tc>
                <w:tcPr>
                  <w:tcW w:w="1633" w:type="dxa"/>
                </w:tcPr>
                <w:p w14:paraId="39C28CC9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光束发散角（全角）</w:t>
                  </w:r>
                </w:p>
              </w:tc>
              <w:tc>
                <w:tcPr>
                  <w:tcW w:w="1723" w:type="dxa"/>
                </w:tcPr>
                <w:p w14:paraId="779FC6FE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＜1</w:t>
                  </w:r>
                  <w:r>
                    <w:rPr>
                      <w:bCs/>
                      <w:szCs w:val="21"/>
                    </w:rPr>
                    <w:t xml:space="preserve">.5 </w:t>
                  </w:r>
                  <w:r>
                    <w:rPr>
                      <w:rFonts w:hint="eastAsia"/>
                      <w:bCs/>
                      <w:szCs w:val="21"/>
                    </w:rPr>
                    <w:t>m</w:t>
                  </w:r>
                  <w:r>
                    <w:rPr>
                      <w:bCs/>
                      <w:szCs w:val="21"/>
                    </w:rPr>
                    <w:t>rad</w:t>
                  </w:r>
                </w:p>
              </w:tc>
              <w:tc>
                <w:tcPr>
                  <w:tcW w:w="1723" w:type="dxa"/>
                </w:tcPr>
                <w:p w14:paraId="47A20585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＜1</w:t>
                  </w:r>
                  <w:r>
                    <w:rPr>
                      <w:bCs/>
                      <w:szCs w:val="21"/>
                    </w:rPr>
                    <w:t xml:space="preserve">.5 </w:t>
                  </w:r>
                  <w:r>
                    <w:rPr>
                      <w:rFonts w:hint="eastAsia"/>
                      <w:bCs/>
                      <w:szCs w:val="21"/>
                    </w:rPr>
                    <w:t>m</w:t>
                  </w:r>
                  <w:r>
                    <w:rPr>
                      <w:bCs/>
                      <w:szCs w:val="21"/>
                    </w:rPr>
                    <w:t>rad</w:t>
                  </w:r>
                </w:p>
              </w:tc>
            </w:tr>
            <w:tr w14:paraId="324F8C8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41" w:hRule="atLeast"/>
                <w:jc w:val="center"/>
              </w:trPr>
              <w:tc>
                <w:tcPr>
                  <w:tcW w:w="1633" w:type="dxa"/>
                </w:tcPr>
                <w:p w14:paraId="69C92E41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控制器要求</w:t>
                  </w:r>
                </w:p>
              </w:tc>
              <w:tc>
                <w:tcPr>
                  <w:tcW w:w="1723" w:type="dxa"/>
                </w:tcPr>
                <w:p w14:paraId="660060EF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具备软件和外部模拟电压调节激光功率能力，并可自由切换</w:t>
                  </w:r>
                </w:p>
              </w:tc>
              <w:tc>
                <w:tcPr>
                  <w:tcW w:w="1723" w:type="dxa"/>
                </w:tcPr>
                <w:p w14:paraId="37938B30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具备软件和外部模拟电压调节激光功率能力，并可自由切换</w:t>
                  </w:r>
                </w:p>
              </w:tc>
            </w:tr>
            <w:tr w14:paraId="0F2000B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7" w:hRule="atLeast"/>
                <w:jc w:val="center"/>
              </w:trPr>
              <w:tc>
                <w:tcPr>
                  <w:tcW w:w="1633" w:type="dxa"/>
                </w:tcPr>
                <w:p w14:paraId="30CED396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通信接口</w:t>
                  </w:r>
                </w:p>
              </w:tc>
              <w:tc>
                <w:tcPr>
                  <w:tcW w:w="1723" w:type="dxa"/>
                </w:tcPr>
                <w:p w14:paraId="0997F258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U</w:t>
                  </w:r>
                  <w:r>
                    <w:rPr>
                      <w:bCs/>
                      <w:szCs w:val="21"/>
                    </w:rPr>
                    <w:t>SB</w:t>
                  </w:r>
                  <w:r>
                    <w:rPr>
                      <w:rFonts w:hint="eastAsia"/>
                      <w:bCs/>
                      <w:szCs w:val="21"/>
                    </w:rPr>
                    <w:t>/</w:t>
                  </w:r>
                  <w:r>
                    <w:rPr>
                      <w:bCs/>
                      <w:szCs w:val="21"/>
                    </w:rPr>
                    <w:t>RS232</w:t>
                  </w:r>
                </w:p>
              </w:tc>
              <w:tc>
                <w:tcPr>
                  <w:tcW w:w="1723" w:type="dxa"/>
                </w:tcPr>
                <w:p w14:paraId="2538CD12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U</w:t>
                  </w:r>
                  <w:r>
                    <w:rPr>
                      <w:bCs/>
                      <w:szCs w:val="21"/>
                    </w:rPr>
                    <w:t>SB/RS232</w:t>
                  </w:r>
                </w:p>
              </w:tc>
            </w:tr>
            <w:tr w14:paraId="354E910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3" w:hRule="atLeast"/>
                <w:jc w:val="center"/>
              </w:trPr>
              <w:tc>
                <w:tcPr>
                  <w:tcW w:w="1633" w:type="dxa"/>
                </w:tcPr>
                <w:p w14:paraId="59C8F3ED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模拟</w:t>
                  </w:r>
                  <w:r>
                    <w:rPr>
                      <w:bCs/>
                      <w:szCs w:val="21"/>
                    </w:rPr>
                    <w:t>电压与功率对应关系</w:t>
                  </w:r>
                </w:p>
              </w:tc>
              <w:tc>
                <w:tcPr>
                  <w:tcW w:w="1723" w:type="dxa"/>
                </w:tcPr>
                <w:p w14:paraId="0D42BDD1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bCs/>
                      <w:szCs w:val="21"/>
                    </w:rPr>
                    <w:t>线性对应</w:t>
                  </w:r>
                </w:p>
              </w:tc>
              <w:tc>
                <w:tcPr>
                  <w:tcW w:w="1723" w:type="dxa"/>
                </w:tcPr>
                <w:p w14:paraId="5478B1EC">
                  <w:pPr>
                    <w:tabs>
                      <w:tab w:val="left" w:pos="6915"/>
                    </w:tabs>
                    <w:jc w:val="left"/>
                    <w:rPr>
                      <w:bCs/>
                      <w:szCs w:val="21"/>
                    </w:rPr>
                  </w:pPr>
                  <w:r>
                    <w:rPr>
                      <w:bCs/>
                      <w:szCs w:val="21"/>
                    </w:rPr>
                    <w:t>线性对应</w:t>
                  </w:r>
                </w:p>
              </w:tc>
            </w:tr>
            <w:bookmarkEnd w:id="0"/>
          </w:tbl>
          <w:p w14:paraId="5D842A69">
            <w:pPr>
              <w:pStyle w:val="11"/>
              <w:numPr>
                <w:ilvl w:val="0"/>
                <w:numId w:val="0"/>
              </w:numPr>
              <w:ind w:left="360" w:leftChars="0" w:hanging="360" w:firstLineChars="0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88EEA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交货期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合同签订后</w:t>
            </w:r>
            <w:r>
              <w:rPr>
                <w:rFonts w:ascii="宋体" w:hAnsi="宋体"/>
                <w:b w:val="0"/>
                <w:bCs/>
                <w:szCs w:val="21"/>
              </w:rPr>
              <w:t>2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个月内</w:t>
            </w:r>
          </w:p>
          <w:p w14:paraId="174FD61F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交付进度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一次性交付</w:t>
            </w:r>
          </w:p>
          <w:p w14:paraId="13D3967B">
            <w:pPr>
              <w:tabs>
                <w:tab w:val="left" w:pos="6915"/>
              </w:tabs>
              <w:jc w:val="left"/>
            </w:pPr>
            <w:r>
              <w:rPr>
                <w:rFonts w:ascii="宋体" w:hAnsi="宋体"/>
                <w:b/>
                <w:szCs w:val="21"/>
              </w:rPr>
              <w:t>付款方式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/>
              </w:rPr>
              <w:t>合同签订后，买方支付合同总价的50%；（2）货物在制造现场预验收完毕后，买方支付合同总价的30%；货到买方指定地点并且经买方验收合格后，买方支付合同总价的20%。</w:t>
            </w:r>
          </w:p>
          <w:p w14:paraId="2261B562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验收指标及验收要求：</w:t>
            </w:r>
            <w:r>
              <w:rPr>
                <w:rFonts w:hint="eastAsia" w:ascii="宋体" w:hAnsi="宋体"/>
                <w:bCs/>
                <w:szCs w:val="21"/>
              </w:rPr>
              <w:t>厂家需对激光器进行出厂测试，满足规格和技术参数给出的要求。</w:t>
            </w:r>
          </w:p>
          <w:p w14:paraId="1978450C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保修</w:t>
            </w:r>
            <w:r>
              <w:rPr>
                <w:rFonts w:ascii="宋体" w:hAnsi="宋体"/>
                <w:b/>
                <w:szCs w:val="21"/>
              </w:rPr>
              <w:t>及售后服务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</w:p>
          <w:p w14:paraId="35FDAC09">
            <w:pPr>
              <w:tabs>
                <w:tab w:val="left" w:pos="6915"/>
              </w:tabs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1. 厂家提供一年的免费保修, 保修期自仪器安装验收之日起计算。如在保修期内，需返厂维修，厂家承担所有费用，且保修期相应顺延。在保修期结束前一个月内，厂家上门进行设备整体检修。</w:t>
            </w:r>
          </w:p>
          <w:p w14:paraId="5FBDA478">
            <w:pPr>
              <w:tabs>
                <w:tab w:val="left" w:pos="6915"/>
              </w:tabs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2. 保修期内的服务由厂家负责，电话报修后 24 小时上门服务、72 小时内排除故障，如有必要尽快派出维修人员到达现场进行服务。</w:t>
            </w:r>
          </w:p>
          <w:p w14:paraId="76ED9ECD">
            <w:p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bookmarkStart w:id="1" w:name="_GoBack"/>
            <w:bookmarkEnd w:id="1"/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C7718F8"/>
    <w:rsid w:val="2D070EC5"/>
    <w:rsid w:val="46BB5348"/>
    <w:rsid w:val="51936088"/>
    <w:rsid w:val="5BFF54D6"/>
    <w:rsid w:val="668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434</Words>
  <Characters>486</Characters>
  <Lines>4</Lines>
  <Paragraphs>1</Paragraphs>
  <TotalTime>0</TotalTime>
  <ScaleCrop>false</ScaleCrop>
  <LinksUpToDate>false</LinksUpToDate>
  <CharactersWithSpaces>515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陈文佳</cp:lastModifiedBy>
  <dcterms:modified xsi:type="dcterms:W3CDTF">2026-08-24T09:57:36Z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eyJoZGlkIjoiMzc0OTQ1OWZiNDc3Y2MyZmZmZWIzYzRlODQ4NDE3OTYiLCJ1c2VySWQiOiIxNzc0OTA2Mjk1In0=</vt:lpwstr>
  </property>
  <property fmtid="{D5CDD505-2E9C-101B-9397-08002B2CF9AE}" pid="3" name="KSOProductBuildVer">
    <vt:lpwstr>2052-12.1.0.23542</vt:lpwstr>
  </property>
  <property fmtid="{D5CDD505-2E9C-101B-9397-08002B2CF9AE}" pid="4" name="ICV">
    <vt:lpwstr>20B1B4D6E71F47CB8E65CCEFBC87FC75_12</vt:lpwstr>
  </property>
</Properties>
</file>