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DC9955E">
      <w:pPr>
        <w:jc w:val="center"/>
        <w:rPr>
          <w:sz w:val="36"/>
        </w:rPr>
      </w:pPr>
      <w:r>
        <w:rPr>
          <w:sz w:val="36"/>
        </w:rPr>
        <w:t>中国科学技术大学国家同步辐射实验室</w:t>
      </w:r>
    </w:p>
    <w:p w14:paraId="0973E65B">
      <w:pPr>
        <w:jc w:val="center"/>
        <w:rPr>
          <w:sz w:val="36"/>
        </w:rPr>
      </w:pPr>
      <w:r>
        <w:rPr>
          <w:rFonts w:hint="eastAsia"/>
          <w:sz w:val="36"/>
        </w:rPr>
        <w:t>技术指标供应商确认表</w:t>
      </w:r>
    </w:p>
    <w:p w14:paraId="3E58F52B"/>
    <w:tbl>
      <w:tblPr>
        <w:tblStyle w:val="3"/>
        <w:tblW w:w="9781" w:type="dxa"/>
        <w:tblInd w:w="-5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5"/>
        <w:gridCol w:w="1561"/>
        <w:gridCol w:w="5105"/>
        <w:gridCol w:w="1418"/>
        <w:gridCol w:w="992"/>
      </w:tblGrid>
      <w:tr w14:paraId="3979FF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6" w:hRule="atLeast"/>
        </w:trPr>
        <w:tc>
          <w:tcPr>
            <w:tcW w:w="705" w:type="dxa"/>
            <w:vAlign w:val="center"/>
          </w:tcPr>
          <w:p w14:paraId="75C250BA">
            <w:pPr>
              <w:spacing w:line="24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序号</w:t>
            </w:r>
          </w:p>
        </w:tc>
        <w:tc>
          <w:tcPr>
            <w:tcW w:w="1561" w:type="dxa"/>
            <w:vAlign w:val="center"/>
          </w:tcPr>
          <w:p w14:paraId="3A9FF52B">
            <w:pPr>
              <w:spacing w:line="24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名称</w:t>
            </w:r>
          </w:p>
        </w:tc>
        <w:tc>
          <w:tcPr>
            <w:tcW w:w="5105" w:type="dxa"/>
            <w:vAlign w:val="center"/>
          </w:tcPr>
          <w:p w14:paraId="258D475E">
            <w:pPr>
              <w:spacing w:line="24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技术指标</w:t>
            </w:r>
          </w:p>
        </w:tc>
        <w:tc>
          <w:tcPr>
            <w:tcW w:w="1418" w:type="dxa"/>
            <w:vAlign w:val="center"/>
          </w:tcPr>
          <w:p w14:paraId="37F7A556">
            <w:pPr>
              <w:spacing w:line="24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偏离说明</w:t>
            </w:r>
          </w:p>
          <w:p w14:paraId="328E92F5">
            <w:pPr>
              <w:spacing w:line="24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(</w:t>
            </w:r>
            <w:r>
              <w:rPr>
                <w:sz w:val="24"/>
                <w:szCs w:val="24"/>
              </w:rPr>
              <w:t>无偏离</w:t>
            </w:r>
            <w:r>
              <w:rPr>
                <w:rFonts w:hint="eastAsia"/>
                <w:sz w:val="24"/>
                <w:szCs w:val="24"/>
              </w:rPr>
              <w:t>/</w:t>
            </w:r>
            <w:r>
              <w:rPr>
                <w:sz w:val="24"/>
                <w:szCs w:val="24"/>
              </w:rPr>
              <w:t>正偏离</w:t>
            </w:r>
            <w:r>
              <w:rPr>
                <w:rFonts w:hint="eastAsia"/>
                <w:sz w:val="24"/>
                <w:szCs w:val="24"/>
              </w:rPr>
              <w:t>/</w:t>
            </w:r>
            <w:r>
              <w:rPr>
                <w:sz w:val="24"/>
                <w:szCs w:val="24"/>
              </w:rPr>
              <w:t>负偏离</w:t>
            </w:r>
            <w:r>
              <w:rPr>
                <w:rFonts w:hint="eastAsia"/>
                <w:sz w:val="24"/>
                <w:szCs w:val="24"/>
              </w:rPr>
              <w:t>)</w:t>
            </w:r>
          </w:p>
        </w:tc>
        <w:tc>
          <w:tcPr>
            <w:tcW w:w="992" w:type="dxa"/>
            <w:vAlign w:val="center"/>
          </w:tcPr>
          <w:p w14:paraId="22A89C1E">
            <w:pPr>
              <w:spacing w:line="24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偏离值</w:t>
            </w:r>
          </w:p>
        </w:tc>
      </w:tr>
      <w:tr w14:paraId="394384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13" w:hRule="atLeast"/>
        </w:trPr>
        <w:tc>
          <w:tcPr>
            <w:tcW w:w="705" w:type="dxa"/>
            <w:vAlign w:val="center"/>
          </w:tcPr>
          <w:p w14:paraId="185CA09D">
            <w:pPr>
              <w:spacing w:line="24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</w:p>
        </w:tc>
        <w:tc>
          <w:tcPr>
            <w:tcW w:w="156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48A5544">
            <w:pPr>
              <w:widowControl/>
              <w:spacing w:line="240" w:lineRule="atLeast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脉冲激光沉积系统</w:t>
            </w:r>
          </w:p>
        </w:tc>
        <w:tc>
          <w:tcPr>
            <w:tcW w:w="5105" w:type="dxa"/>
            <w:vAlign w:val="center"/>
          </w:tcPr>
          <w:p w14:paraId="2EE78CDE">
            <w:pPr>
              <w:keepNext w:val="0"/>
              <w:keepLines w:val="0"/>
              <w:pageBreakBefore w:val="0"/>
              <w:widowControl/>
              <w:numPr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56" w:beforeLines="50" w:after="156" w:afterLines="50" w:line="240" w:lineRule="auto"/>
              <w:textAlignment w:val="auto"/>
              <w:rPr>
                <w:rFonts w:hint="default" w:eastAsia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b/>
                <w:bCs/>
                <w:kern w:val="0"/>
                <w:sz w:val="24"/>
                <w:szCs w:val="24"/>
                <w:lang w:val="en-US" w:eastAsia="zh-CN"/>
              </w:rPr>
              <w:t>一、</w:t>
            </w:r>
            <w:r>
              <w:rPr>
                <w:rFonts w:hint="eastAsia"/>
                <w:b/>
                <w:bCs/>
                <w:kern w:val="0"/>
                <w:sz w:val="24"/>
                <w:szCs w:val="24"/>
              </w:rPr>
              <w:t>超高真空主腔</w:t>
            </w:r>
            <w:r>
              <w:rPr>
                <w:rFonts w:hint="eastAsia"/>
                <w:b/>
                <w:bCs/>
                <w:kern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/>
                <w:kern w:val="0"/>
                <w:sz w:val="24"/>
                <w:szCs w:val="24"/>
                <w:lang w:val="en-US" w:eastAsia="zh-CN"/>
              </w:rPr>
              <w:t xml:space="preserve">    </w:t>
            </w:r>
          </w:p>
          <w:p w14:paraId="6542D60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56" w:beforeLines="50" w:after="156" w:afterLines="50" w:line="240" w:lineRule="auto"/>
              <w:textAlignment w:val="auto"/>
              <w:rPr>
                <w:rFonts w:hint="eastAsia"/>
                <w:kern w:val="0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1.1 真空腔体</w:t>
            </w:r>
          </w:p>
          <w:p w14:paraId="314964A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56" w:beforeLines="50" w:after="156" w:afterLines="50" w:line="240" w:lineRule="auto"/>
              <w:ind w:firstLine="480" w:firstLineChars="200"/>
              <w:textAlignment w:val="auto"/>
              <w:rPr>
                <w:rFonts w:hint="eastAsia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kern w:val="0"/>
                <w:sz w:val="24"/>
                <w:szCs w:val="24"/>
                <w:lang w:val="en-US" w:eastAsia="zh-CN"/>
              </w:rPr>
              <w:t>1× 真空腔体，腔体形状：方形；腔体材质：316L不锈钢，高温退火去磁处理。1× DN63CF (水平激光入口，DN63 石英窗口) 。1× CF200 快开门，2× DN40CF (腔体粗抽和工艺控压)，1× DN160CF (分子泵)，2× DN40CF (全量程真空计和工艺气体真空计)，1× DN35CF (靶台入口)，1× DN63CF (激光能量入口，进口石英视窗)，1× DN40CF (传样和生长观察用摄像头)。</w:t>
            </w:r>
          </w:p>
          <w:p w14:paraId="75E22A6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56" w:beforeLines="50" w:after="156" w:afterLines="50" w:line="240" w:lineRule="auto"/>
              <w:textAlignment w:val="auto"/>
              <w:rPr>
                <w:rFonts w:hint="eastAsia"/>
                <w:kern w:val="0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1.2 真空获取和测量系统</w:t>
            </w:r>
          </w:p>
          <w:p w14:paraId="3D52A3F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56" w:beforeLines="50" w:after="156" w:afterLines="50" w:line="240" w:lineRule="auto"/>
              <w:ind w:firstLine="480" w:firstLineChars="200"/>
              <w:jc w:val="left"/>
              <w:textAlignment w:val="auto"/>
              <w:rPr>
                <w:rFonts w:hint="eastAsia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kern w:val="0"/>
                <w:sz w:val="24"/>
                <w:szCs w:val="24"/>
                <w:lang w:val="en-US" w:eastAsia="zh-CN"/>
              </w:rPr>
              <w:t>1× 前级机械泵，4L/s。1× 主腔室与分子泵之间手动闸板阀DN160CF，1× 全量程真空计，1× 进口薄膜真空计，1Torr，1× 工艺控制阀 CF35（手动）1× 粗抽角阀 CF35，实现分子泵不停下，主腔的放气和抽气，缩短换样时间，提高制样效率，1× 气路旁抽系统 KF25 球阀</w:t>
            </w:r>
          </w:p>
          <w:p w14:paraId="392DE9E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56" w:beforeLines="50" w:after="156" w:afterLines="50" w:line="240" w:lineRule="auto"/>
              <w:textAlignment w:val="auto"/>
              <w:rPr>
                <w:rFonts w:hint="eastAsia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kern w:val="0"/>
                <w:sz w:val="24"/>
                <w:szCs w:val="24"/>
                <w:lang w:val="en-US" w:eastAsia="zh-CN"/>
              </w:rPr>
              <w:t>1.3 样品台</w:t>
            </w:r>
          </w:p>
          <w:p w14:paraId="2166668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56" w:beforeLines="50" w:after="156" w:afterLines="50" w:line="240" w:lineRule="auto"/>
              <w:ind w:firstLine="480" w:firstLineChars="200"/>
              <w:textAlignment w:val="auto"/>
              <w:rPr>
                <w:rFonts w:hint="eastAsia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kern w:val="0"/>
                <w:sz w:val="24"/>
                <w:szCs w:val="24"/>
                <w:lang w:val="en-US" w:eastAsia="zh-CN"/>
              </w:rPr>
              <w:t>1× 可调高度样品台，可载 CF150 法兰</w:t>
            </w:r>
          </w:p>
          <w:p w14:paraId="52FE248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56" w:beforeLines="50" w:after="156" w:afterLines="50" w:line="240" w:lineRule="auto"/>
              <w:textAlignment w:val="auto"/>
              <w:rPr>
                <w:rFonts w:hint="eastAsia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kern w:val="0"/>
                <w:sz w:val="24"/>
                <w:szCs w:val="24"/>
                <w:lang w:val="en-US" w:eastAsia="zh-CN"/>
              </w:rPr>
              <w:t>1.4 靶台系统</w:t>
            </w:r>
          </w:p>
          <w:p w14:paraId="6685BDA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56" w:beforeLines="50" w:after="156" w:afterLines="50" w:line="240" w:lineRule="auto"/>
              <w:ind w:firstLine="480" w:firstLineChars="200"/>
              <w:textAlignment w:val="auto"/>
              <w:rPr>
                <w:rFonts w:hint="eastAsia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kern w:val="0"/>
                <w:sz w:val="24"/>
                <w:szCs w:val="24"/>
                <w:lang w:val="en-US" w:eastAsia="zh-CN"/>
              </w:rPr>
              <w:t>1× 二轴靶台，四靶位，公转和自转软件自动控制，可软件控制靶材切换和靶材扫描功能</w:t>
            </w:r>
          </w:p>
          <w:p w14:paraId="552700C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56" w:beforeLines="50" w:after="156" w:afterLines="50" w:line="240" w:lineRule="auto"/>
              <w:textAlignment w:val="auto"/>
              <w:rPr>
                <w:rFonts w:hint="eastAsia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kern w:val="0"/>
                <w:sz w:val="24"/>
                <w:szCs w:val="24"/>
                <w:lang w:val="en-US" w:eastAsia="zh-CN"/>
              </w:rPr>
              <w:t>1.5 系统支撑台和激光入口光</w:t>
            </w:r>
          </w:p>
          <w:p w14:paraId="62A3583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56" w:beforeLines="50" w:after="156" w:afterLines="50" w:line="240" w:lineRule="auto"/>
              <w:ind w:firstLine="480" w:firstLineChars="200"/>
              <w:textAlignment w:val="auto"/>
              <w:rPr>
                <w:rFonts w:hint="eastAsia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kern w:val="0"/>
                <w:sz w:val="24"/>
                <w:szCs w:val="24"/>
                <w:lang w:val="en-US" w:eastAsia="zh-CN"/>
              </w:rPr>
              <w:t>1× 可移动铝型材桌，带脚轮和水平脚架1× 进口高损伤阈值 248nm 光学透镜，焦距 f=500mm，1× 透镜和反射镜模块。</w:t>
            </w:r>
          </w:p>
          <w:p w14:paraId="41783F0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56" w:beforeLines="50" w:after="156" w:afterLines="50" w:line="240" w:lineRule="auto"/>
              <w:textAlignment w:val="auto"/>
              <w:rPr>
                <w:rFonts w:hint="eastAsia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kern w:val="0"/>
                <w:sz w:val="24"/>
                <w:szCs w:val="24"/>
                <w:lang w:val="en-US" w:eastAsia="zh-CN"/>
              </w:rPr>
              <w:t>1.6 挡板系统</w:t>
            </w:r>
          </w:p>
          <w:p w14:paraId="378D787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56" w:beforeLines="50" w:after="156" w:afterLines="50" w:line="240" w:lineRule="auto"/>
              <w:ind w:firstLine="480" w:firstLineChars="200"/>
              <w:textAlignment w:val="auto"/>
              <w:rPr>
                <w:rFonts w:hint="eastAsia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kern w:val="0"/>
                <w:sz w:val="24"/>
                <w:szCs w:val="24"/>
                <w:lang w:val="en-US" w:eastAsia="zh-CN"/>
              </w:rPr>
              <w:t>1× 线性移动挡板，可前后伸综 150mm，用于预溅射可移动铝型材桌，带脚轮和水平脚架。</w:t>
            </w:r>
          </w:p>
          <w:p w14:paraId="53B9D09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56" w:beforeLines="50" w:after="156" w:afterLines="50" w:line="240" w:lineRule="auto"/>
              <w:textAlignment w:val="auto"/>
              <w:rPr>
                <w:rFonts w:hint="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b/>
                <w:bCs/>
                <w:kern w:val="0"/>
                <w:sz w:val="24"/>
                <w:szCs w:val="24"/>
                <w:lang w:val="en-US" w:eastAsia="zh-CN"/>
              </w:rPr>
              <w:t>二、控制和辅助系统</w:t>
            </w:r>
          </w:p>
          <w:p w14:paraId="74FDAAA8">
            <w:pPr>
              <w:keepNext w:val="0"/>
              <w:keepLines w:val="0"/>
              <w:pageBreakBefore w:val="0"/>
              <w:tabs>
                <w:tab w:val="left" w:pos="691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480" w:firstLineChars="200"/>
              <w:jc w:val="left"/>
              <w:textAlignment w:val="auto"/>
              <w:rPr>
                <w:rFonts w:hint="eastAsia"/>
                <w:bCs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  <w:lang w:val="en-US" w:eastAsia="zh-CN"/>
              </w:rPr>
              <w:t>1× 靶台扫描和公转控制模块，带有待机状态自动停止扫描功能。1× 脉冲激光脉冲控制，提供计数模式和连续模式1× 生长编程模块，一键多层膜和超晶格生长自动控制。</w:t>
            </w:r>
          </w:p>
        </w:tc>
        <w:tc>
          <w:tcPr>
            <w:tcW w:w="1418" w:type="dxa"/>
            <w:vAlign w:val="center"/>
          </w:tcPr>
          <w:p w14:paraId="205FF5AB">
            <w:pPr>
              <w:spacing w:line="24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14:paraId="1C60665B">
            <w:pPr>
              <w:spacing w:line="240" w:lineRule="atLeast"/>
              <w:jc w:val="center"/>
              <w:rPr>
                <w:sz w:val="24"/>
                <w:szCs w:val="24"/>
              </w:rPr>
            </w:pPr>
          </w:p>
        </w:tc>
      </w:tr>
      <w:tr w14:paraId="497EA6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705" w:type="dxa"/>
            <w:vAlign w:val="center"/>
          </w:tcPr>
          <w:p w14:paraId="21D5CC9B">
            <w:pPr>
              <w:spacing w:line="240" w:lineRule="atLeas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5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217188C">
            <w:pPr>
              <w:widowControl/>
              <w:spacing w:line="24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商务条款</w:t>
            </w:r>
          </w:p>
        </w:tc>
        <w:tc>
          <w:tcPr>
            <w:tcW w:w="51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F8ECB51">
            <w:pPr>
              <w:tabs>
                <w:tab w:val="left" w:pos="6915"/>
              </w:tabs>
              <w:spacing w:line="240" w:lineRule="atLeast"/>
              <w:jc w:val="left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  <w:p w14:paraId="62826E3E">
            <w:pPr>
              <w:keepNext w:val="0"/>
              <w:keepLines w:val="0"/>
              <w:pageBreakBefore w:val="0"/>
              <w:tabs>
                <w:tab w:val="left" w:pos="691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hint="default" w:ascii="宋体" w:hAnsi="宋体"/>
                <w:b/>
                <w:sz w:val="24"/>
                <w:szCs w:val="24"/>
                <w:lang w:val="en-US"/>
              </w:rPr>
            </w:pPr>
            <w:r>
              <w:rPr>
                <w:rFonts w:ascii="宋体" w:hAnsi="宋体"/>
                <w:b/>
                <w:sz w:val="24"/>
                <w:szCs w:val="24"/>
              </w:rPr>
              <w:t>交货期</w:t>
            </w:r>
            <w:r>
              <w:rPr>
                <w:rFonts w:hint="eastAsia" w:ascii="宋体" w:hAnsi="宋体"/>
                <w:b/>
                <w:sz w:val="24"/>
                <w:szCs w:val="24"/>
              </w:rPr>
              <w:t>：</w:t>
            </w:r>
            <w:r>
              <w:rPr>
                <w:rFonts w:hint="eastAsia" w:ascii="宋体" w:hAnsi="宋体"/>
                <w:b w:val="0"/>
                <w:bCs/>
                <w:sz w:val="24"/>
                <w:szCs w:val="24"/>
                <w:lang w:val="en-US" w:eastAsia="zh-CN"/>
              </w:rPr>
              <w:t>自合同签订之日起</w:t>
            </w:r>
            <w:r>
              <w:rPr>
                <w:rFonts w:hint="eastAsia"/>
                <w:b w:val="0"/>
                <w:bCs/>
                <w:kern w:val="0"/>
                <w:sz w:val="24"/>
                <w:szCs w:val="24"/>
                <w:lang w:val="en-US" w:eastAsia="zh-CN"/>
              </w:rPr>
              <w:t>3-4个月内完成交货。</w:t>
            </w:r>
          </w:p>
          <w:p w14:paraId="16F5793F">
            <w:pPr>
              <w:keepNext w:val="0"/>
              <w:keepLines w:val="0"/>
              <w:pageBreakBefore w:val="0"/>
              <w:tabs>
                <w:tab w:val="left" w:pos="691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hint="eastAsia" w:ascii="宋体" w:hAnsi="宋体" w:eastAsiaTheme="minorEastAsia"/>
                <w:bCs/>
                <w:sz w:val="24"/>
                <w:szCs w:val="24"/>
                <w:lang w:eastAsia="zh-CN"/>
              </w:rPr>
            </w:pPr>
            <w:r>
              <w:rPr>
                <w:rFonts w:ascii="宋体" w:hAnsi="宋体"/>
                <w:b/>
                <w:sz w:val="24"/>
                <w:szCs w:val="24"/>
              </w:rPr>
              <w:t>交付进度</w:t>
            </w:r>
            <w:r>
              <w:rPr>
                <w:rFonts w:hint="eastAsia" w:ascii="宋体" w:hAnsi="宋体"/>
                <w:b/>
                <w:sz w:val="24"/>
                <w:szCs w:val="24"/>
              </w:rPr>
              <w:t>：</w:t>
            </w:r>
            <w:r>
              <w:rPr>
                <w:rFonts w:hint="eastAsia" w:ascii="宋体" w:hAnsi="宋体"/>
                <w:bCs/>
                <w:sz w:val="24"/>
                <w:szCs w:val="24"/>
              </w:rPr>
              <w:t>合同签订后启动生产；收到预付款后3.5个月内发货；到货后2周内到现场安装调试验收</w:t>
            </w:r>
            <w:r>
              <w:rPr>
                <w:rFonts w:hint="eastAsia" w:ascii="宋体" w:hAnsi="宋体"/>
                <w:bCs/>
                <w:sz w:val="24"/>
                <w:szCs w:val="24"/>
                <w:lang w:eastAsia="zh-CN"/>
              </w:rPr>
              <w:t>。</w:t>
            </w:r>
          </w:p>
          <w:p w14:paraId="152BCAA8">
            <w:pPr>
              <w:keepNext w:val="0"/>
              <w:keepLines w:val="0"/>
              <w:pageBreakBefore w:val="0"/>
              <w:tabs>
                <w:tab w:val="left" w:pos="691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hint="eastAsia" w:eastAsiaTheme="minorEastAsia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宋体" w:hAnsi="宋体"/>
                <w:b/>
                <w:sz w:val="24"/>
                <w:szCs w:val="24"/>
              </w:rPr>
              <w:t>付款方式</w:t>
            </w:r>
            <w:r>
              <w:rPr>
                <w:rFonts w:hint="eastAsia" w:ascii="宋体" w:hAnsi="宋体"/>
                <w:b/>
                <w:sz w:val="24"/>
                <w:szCs w:val="24"/>
              </w:rPr>
              <w:t>：</w:t>
            </w:r>
            <w:r>
              <w:rPr>
                <w:rFonts w:hint="eastAsia" w:ascii="宋体" w:hAnsi="宋体"/>
                <w:b w:val="0"/>
                <w:bCs/>
                <w:sz w:val="24"/>
                <w:szCs w:val="24"/>
                <w:lang w:val="en-US" w:eastAsia="zh-CN"/>
              </w:rPr>
              <w:t>甲方</w:t>
            </w:r>
            <w:r>
              <w:rPr>
                <w:rFonts w:hint="eastAsia" w:ascii="宋体" w:hAnsi="宋体"/>
                <w:bCs/>
                <w:sz w:val="24"/>
                <w:szCs w:val="24"/>
              </w:rPr>
              <w:t>预付</w:t>
            </w:r>
            <w:r>
              <w:rPr>
                <w:rFonts w:hint="eastAsia" w:ascii="宋体" w:hAnsi="宋体"/>
                <w:bCs/>
                <w:sz w:val="24"/>
                <w:szCs w:val="24"/>
                <w:lang w:val="en-US" w:eastAsia="zh-CN"/>
              </w:rPr>
              <w:t>合同总金额的3</w:t>
            </w:r>
            <w:r>
              <w:rPr>
                <w:rFonts w:hint="eastAsia" w:ascii="宋体" w:hAnsi="宋体"/>
                <w:bCs/>
                <w:sz w:val="24"/>
                <w:szCs w:val="24"/>
              </w:rPr>
              <w:t>0%，</w:t>
            </w:r>
            <w:r>
              <w:rPr>
                <w:rFonts w:hint="eastAsia" w:ascii="宋体" w:hAnsi="宋体"/>
                <w:bCs/>
                <w:sz w:val="24"/>
                <w:szCs w:val="24"/>
                <w:lang w:val="en-US" w:eastAsia="zh-CN"/>
              </w:rPr>
              <w:t>货到甲方</w:t>
            </w:r>
            <w:r>
              <w:rPr>
                <w:rFonts w:hint="eastAsia" w:ascii="宋体" w:hAnsi="宋体"/>
                <w:bCs/>
                <w:sz w:val="24"/>
                <w:szCs w:val="24"/>
              </w:rPr>
              <w:t>验收合格后</w:t>
            </w:r>
            <w:r>
              <w:rPr>
                <w:rFonts w:hint="eastAsia" w:ascii="宋体" w:hAnsi="宋体"/>
                <w:bCs/>
                <w:sz w:val="24"/>
                <w:szCs w:val="24"/>
                <w:lang w:val="en-US" w:eastAsia="zh-CN"/>
              </w:rPr>
              <w:t>支付合同总金额的7</w:t>
            </w:r>
            <w:r>
              <w:rPr>
                <w:rFonts w:hint="eastAsia" w:ascii="宋体" w:hAnsi="宋体"/>
                <w:bCs/>
                <w:sz w:val="24"/>
                <w:szCs w:val="24"/>
              </w:rPr>
              <w:t>0%</w:t>
            </w:r>
            <w:r>
              <w:rPr>
                <w:rFonts w:hint="eastAsia" w:ascii="宋体" w:hAnsi="宋体"/>
                <w:bCs/>
                <w:sz w:val="24"/>
                <w:szCs w:val="24"/>
                <w:lang w:eastAsia="zh-CN"/>
              </w:rPr>
              <w:t>。</w:t>
            </w:r>
            <w:bookmarkStart w:id="0" w:name="_GoBack"/>
            <w:bookmarkEnd w:id="0"/>
          </w:p>
          <w:p w14:paraId="6D36D77A">
            <w:pPr>
              <w:keepNext w:val="0"/>
              <w:keepLines w:val="0"/>
              <w:pageBreakBefore w:val="0"/>
              <w:tabs>
                <w:tab w:val="left" w:pos="691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验收指标及验收要求：</w:t>
            </w:r>
            <w:r>
              <w:rPr>
                <w:rFonts w:hint="eastAsia" w:ascii="宋体" w:hAnsi="宋体"/>
                <w:bCs/>
                <w:sz w:val="24"/>
                <w:szCs w:val="24"/>
                <w:lang w:val="en-US" w:eastAsia="zh-CN"/>
              </w:rPr>
              <w:t>提供出厂检测报告以及材质证明。</w:t>
            </w:r>
          </w:p>
          <w:p w14:paraId="5B4C87B1">
            <w:pPr>
              <w:keepNext w:val="0"/>
              <w:keepLines w:val="0"/>
              <w:pageBreakBefore w:val="0"/>
              <w:tabs>
                <w:tab w:val="left" w:pos="691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hint="default" w:ascii="宋体" w:hAnsi="宋体" w:eastAsia="宋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保修</w:t>
            </w:r>
            <w:r>
              <w:rPr>
                <w:rFonts w:ascii="宋体" w:hAnsi="宋体"/>
                <w:b/>
                <w:sz w:val="24"/>
                <w:szCs w:val="24"/>
              </w:rPr>
              <w:t>及售后服务</w:t>
            </w:r>
            <w:r>
              <w:rPr>
                <w:rFonts w:hint="eastAsia" w:ascii="宋体" w:hAnsi="宋体"/>
                <w:b/>
                <w:sz w:val="24"/>
                <w:szCs w:val="24"/>
              </w:rPr>
              <w:t>：</w:t>
            </w:r>
            <w:r>
              <w:rPr>
                <w:rFonts w:hint="eastAsia" w:ascii="宋体" w:hAnsi="宋体"/>
                <w:b w:val="0"/>
                <w:bCs/>
                <w:sz w:val="24"/>
                <w:szCs w:val="24"/>
                <w:lang w:val="en-US" w:eastAsia="zh-CN"/>
              </w:rPr>
              <w:t>12个月</w:t>
            </w:r>
          </w:p>
          <w:p w14:paraId="6F6C98C6">
            <w:pPr>
              <w:tabs>
                <w:tab w:val="left" w:pos="6915"/>
              </w:tabs>
              <w:spacing w:line="240" w:lineRule="atLeast"/>
              <w:jc w:val="left"/>
              <w:rPr>
                <w:rFonts w:hint="eastAsia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 w14:paraId="324B1D27">
            <w:pPr>
              <w:spacing w:line="24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14:paraId="06AA2CA0">
            <w:pPr>
              <w:spacing w:line="240" w:lineRule="atLeast"/>
              <w:jc w:val="center"/>
              <w:rPr>
                <w:sz w:val="24"/>
                <w:szCs w:val="24"/>
              </w:rPr>
            </w:pPr>
          </w:p>
        </w:tc>
      </w:tr>
    </w:tbl>
    <w:p w14:paraId="6DFFEB29">
      <w:pPr>
        <w:ind w:right="840"/>
        <w:rPr>
          <w:sz w:val="24"/>
          <w:szCs w:val="24"/>
        </w:rPr>
      </w:pPr>
    </w:p>
    <w:p w14:paraId="287DDEA5">
      <w:pPr>
        <w:ind w:right="840"/>
        <w:rPr>
          <w:sz w:val="24"/>
          <w:szCs w:val="24"/>
        </w:rPr>
      </w:pPr>
    </w:p>
    <w:p w14:paraId="663E47C9">
      <w:pPr>
        <w:ind w:right="840" w:firstLine="5040" w:firstLineChars="2100"/>
        <w:rPr>
          <w:sz w:val="24"/>
          <w:szCs w:val="24"/>
        </w:rPr>
      </w:pPr>
    </w:p>
    <w:p w14:paraId="6B36AD4F">
      <w:pPr>
        <w:ind w:right="840" w:firstLine="5040" w:firstLineChars="2100"/>
        <w:rPr>
          <w:sz w:val="24"/>
          <w:szCs w:val="24"/>
        </w:rPr>
      </w:pPr>
      <w:r>
        <w:rPr>
          <w:sz w:val="24"/>
          <w:szCs w:val="24"/>
        </w:rPr>
        <w:t>公司名称</w:t>
      </w:r>
      <w:r>
        <w:rPr>
          <w:rFonts w:hint="eastAsia"/>
          <w:sz w:val="24"/>
          <w:szCs w:val="24"/>
        </w:rPr>
        <w:t>（盖章）：</w:t>
      </w:r>
    </w:p>
    <w:p w14:paraId="2BA3965A">
      <w:pPr>
        <w:ind w:right="840"/>
        <w:jc w:val="center"/>
        <w:rPr>
          <w:sz w:val="24"/>
        </w:rPr>
      </w:pPr>
      <w:r>
        <w:rPr>
          <w:rFonts w:hint="eastAsia"/>
          <w:sz w:val="24"/>
          <w:szCs w:val="24"/>
        </w:rPr>
        <w:t xml:space="preserve"> </w:t>
      </w:r>
      <w:r>
        <w:rPr>
          <w:sz w:val="24"/>
          <w:szCs w:val="24"/>
        </w:rPr>
        <w:t xml:space="preserve">                            日期</w:t>
      </w:r>
      <w:r>
        <w:rPr>
          <w:rFonts w:hint="eastAsia"/>
          <w:sz w:val="24"/>
          <w:szCs w:val="24"/>
        </w:rPr>
        <w:t>：</w:t>
      </w:r>
    </w:p>
    <w:p w14:paraId="2CBCCFC8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7CA2BA6"/>
    <w:rsid w:val="084B472A"/>
    <w:rsid w:val="57CA2B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2025-11-10T07:28:00Z</dcterms:created>
  <dc:creator>amour</dc:creator>
  <cp:lastModifiedBy>amour</cp:lastModifiedBy>
  <dcterms:modified xsi:type="dcterms:W3CDTF">2025-11-10T07:52:12Z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7BAA8EBFA759409B83A13E1B4467403B_11</vt:lpwstr>
  </property>
  <property fmtid="{D5CDD505-2E9C-101B-9397-08002B2CF9AE}" pid="4" name="KSOTemplateDocerSaveRecord">
    <vt:lpwstr>eyJoZGlkIjoiN2RmNGQ2MDc0ZGFiNmIyNjNmMmJiNzcxMzg1OWQzY2YiLCJ1c2VySWQiOiIxMDQxNDY4Njc5In0=</vt:lpwstr>
  </property>
</Properties>
</file>