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6113"/>
        <w:gridCol w:w="1281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611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281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小功率定耦</w:t>
            </w:r>
          </w:p>
        </w:tc>
        <w:tc>
          <w:tcPr>
            <w:tcW w:w="611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5"/>
              <w:tblW w:w="57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43"/>
              <w:gridCol w:w="3766"/>
              <w:gridCol w:w="840"/>
            </w:tblGrid>
            <w:tr w14:paraId="69A1EF7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  <w:jc w:val="center"/>
              </w:trPr>
              <w:tc>
                <w:tcPr>
                  <w:tcW w:w="11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5DC45C2">
                  <w:pPr>
                    <w:widowControl/>
                    <w:jc w:val="center"/>
                    <w:rPr>
                      <w:rFonts w:ascii="宋体" w:hAnsi="宋体" w:eastAsia="宋体" w:cs="Times New Roman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3766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3E6CDBC0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技术参数要求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71371808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需求数量</w:t>
                  </w:r>
                </w:p>
              </w:tc>
            </w:tr>
            <w:tr w14:paraId="185AA02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4" w:hRule="atLeast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6C1B6C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20dB单向定耦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4264AF63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三端口，频率覆盖范围400MHz~3GHz，20dB耦合，主线损耗小于0.15dB，方向性大于25dB，驻波比小于1.06，最大功率不小于200W，N公头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2BA948CD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</w:tr>
            <w:tr w14:paraId="6C16FE3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7BF2DDE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10dB单向定耦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2C4F89D9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三端口，频率覆盖范围400MHz~3GHz，10dB耦合，主线损耗小于0.17dB，方向性大于23dB，驻波比小于1.09，最大功率不小于200W，N公头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02680867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25</w:t>
                  </w:r>
                </w:p>
              </w:tc>
            </w:tr>
            <w:tr w14:paraId="49E925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23FAB9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6dB单向定耦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04565B29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三端口，频率覆盖范围400MHz~3GHz，6dB耦合，主线损耗小于0.2dB，方向性大于23dB，驻波比小于1.09，最大功率不小于150W，N公头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7FF3E019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15</w:t>
                  </w:r>
                </w:p>
              </w:tc>
            </w:tr>
            <w:tr w14:paraId="6631E23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0593A26">
                  <w:pPr>
                    <w:widowControl/>
                    <w:jc w:val="center"/>
                    <w:rPr>
                      <w:rFonts w:hint="eastAsia" w:ascii="等线" w:hAnsi="等线" w:eastAsia="等线"/>
                      <w:color w:val="000000"/>
                      <w:sz w:val="22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476MHz 3dB电桥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4A1874A8">
                  <w:pPr>
                    <w:widowControl/>
                    <w:jc w:val="center"/>
                    <w:rPr>
                      <w:rFonts w:hint="eastAsia" w:ascii="等线" w:hAnsi="等线" w:eastAsia="等线"/>
                      <w:color w:val="000000"/>
                      <w:sz w:val="22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四端口，频率覆盖范围400MHz~500MHz，3dB电桥，90°相移，主线损耗小于0.5dB，隔离度大于20dB，驻波比小于1.26，最大功率不小于20W，SMA公头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27403B5B">
                  <w:pPr>
                    <w:widowControl/>
                    <w:jc w:val="center"/>
                    <w:rPr>
                      <w:rFonts w:hint="eastAsia" w:ascii="宋体" w:hAnsi="宋体" w:eastAsia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14:paraId="4DB2E8D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2C0D8E9">
                  <w:pPr>
                    <w:widowControl/>
                    <w:jc w:val="center"/>
                    <w:rPr>
                      <w:rFonts w:hint="eastAsia" w:ascii="等线" w:hAnsi="等线" w:eastAsia="等线"/>
                      <w:color w:val="000000"/>
                      <w:sz w:val="22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2856MHz 3dB电桥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color="000000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5B4E3690">
                  <w:pPr>
                    <w:widowControl/>
                    <w:jc w:val="center"/>
                    <w:rPr>
                      <w:rFonts w:hint="eastAsia" w:ascii="等线" w:hAnsi="等线" w:eastAsia="等线"/>
                      <w:color w:val="000000"/>
                      <w:sz w:val="22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四端口，频率覆盖范围2500MHz~3400MHz，3dB电桥，90°相移，主线损耗小于0.5dB，隔离度大于26dB，驻波比小于1.05，最大功率不小于20W，SMA公头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62901CEF">
                  <w:pPr>
                    <w:widowControl/>
                    <w:jc w:val="center"/>
                    <w:rPr>
                      <w:rFonts w:hint="eastAsia" w:ascii="宋体" w:hAnsi="宋体" w:eastAsia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14:paraId="68A0642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  <w:jc w:val="center"/>
              </w:trPr>
              <w:tc>
                <w:tcPr>
                  <w:tcW w:w="114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639C8A00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20dB双向定耦</w:t>
                  </w:r>
                </w:p>
              </w:tc>
              <w:tc>
                <w:tcPr>
                  <w:tcW w:w="37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07671DC9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等线" w:hAnsi="等线" w:eastAsia="等线"/>
                      <w:color w:val="000000"/>
                      <w:sz w:val="22"/>
                    </w:rPr>
                    <w:t>四端口，频率覆盖范围400MHz~3GHz，20dB耦合，主线损耗小于0.16dB，方向性大于18dB，回波损耗大于23dB，最大功率大于200W，N公头</w:t>
                  </w:r>
                </w:p>
              </w:tc>
              <w:tc>
                <w:tcPr>
                  <w:tcW w:w="84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 w14:paraId="19EE5E32">
                  <w:pPr>
                    <w:widowControl/>
                    <w:jc w:val="center"/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23935592">
            <w:pPr>
              <w:widowControl/>
              <w:jc w:val="center"/>
              <w:rPr>
                <w:bCs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6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B1F8F">
            <w:pPr>
              <w:keepNext w:val="0"/>
              <w:keepLines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Cs w:val="21"/>
              </w:rPr>
            </w:pPr>
            <w:r>
              <w:rPr>
                <w:rFonts w:hint="default" w:hAnsi="宋体"/>
                <w:b/>
                <w:sz w:val="24"/>
              </w:rPr>
              <w:t>交货期：</w:t>
            </w:r>
            <w:r>
              <w:rPr>
                <w:rFonts w:hint="eastAsia" w:ascii="宋体" w:hAnsi="宋体"/>
                <w:szCs w:val="21"/>
              </w:rPr>
              <w:t>合同签订后</w:t>
            </w:r>
            <w:r>
              <w:rPr>
                <w:rFonts w:hint="default"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个月交付。</w:t>
            </w:r>
          </w:p>
          <w:p w14:paraId="27A4B66D">
            <w:pPr>
              <w:keepNext w:val="0"/>
              <w:keepLines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b/>
                <w:szCs w:val="21"/>
              </w:rPr>
            </w:pPr>
            <w:r>
              <w:rPr>
                <w:rFonts w:hint="default" w:hAnsi="宋体"/>
                <w:b/>
                <w:sz w:val="24"/>
              </w:rPr>
              <w:t>交付进度</w:t>
            </w:r>
            <w:r>
              <w:rPr>
                <w:rFonts w:hint="eastAsia" w:hAnsi="宋体"/>
                <w:b/>
                <w:sz w:val="24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hint="default" w:ascii="宋体" w:hAnsi="宋体"/>
                <w:bCs/>
                <w:szCs w:val="21"/>
              </w:rPr>
              <w:t>4</w:t>
            </w:r>
            <w:r>
              <w:rPr>
                <w:rFonts w:hint="eastAsia" w:ascii="宋体" w:hAnsi="宋体"/>
                <w:bCs/>
                <w:szCs w:val="21"/>
              </w:rPr>
              <w:t>个月交付。</w:t>
            </w:r>
          </w:p>
          <w:p w14:paraId="71ACD8A1">
            <w:pPr>
              <w:keepNext w:val="0"/>
              <w:keepLines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b/>
                <w:szCs w:val="21"/>
              </w:rPr>
            </w:pPr>
            <w:r>
              <w:rPr>
                <w:rFonts w:hint="default" w:hAnsi="宋体"/>
                <w:b/>
                <w:sz w:val="24"/>
              </w:rPr>
              <w:t>付款方式：</w:t>
            </w:r>
            <w:r>
              <w:rPr>
                <w:rFonts w:hint="eastAsia" w:ascii="宋体" w:hAnsi="宋体"/>
                <w:bCs/>
                <w:szCs w:val="21"/>
              </w:rPr>
              <w:t>合同签订后，支付合同总价的3</w:t>
            </w:r>
            <w:r>
              <w:rPr>
                <w:rFonts w:hint="default"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；货到验收合格后，支付合同尾款。</w:t>
            </w:r>
          </w:p>
          <w:p w14:paraId="45C89FED">
            <w:pPr>
              <w:keepNext w:val="0"/>
              <w:keepLines w:val="0"/>
              <w:suppressLineNumbers w:val="0"/>
              <w:tabs>
                <w:tab w:val="left" w:pos="6915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b/>
                <w:szCs w:val="21"/>
              </w:rPr>
            </w:pPr>
            <w:bookmarkStart w:id="0" w:name="_Hlk168671458"/>
            <w:r>
              <w:rPr>
                <w:rFonts w:hint="default" w:hAnsi="宋体"/>
                <w:b/>
                <w:sz w:val="24"/>
              </w:rPr>
              <w:t>验收指标及验收要求</w:t>
            </w:r>
            <w:bookmarkEnd w:id="0"/>
            <w:r>
              <w:rPr>
                <w:rFonts w:hint="default" w:hAnsi="宋体"/>
                <w:b/>
                <w:sz w:val="24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厂家提供出厂合格证明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或者产品数据规格书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  <w:p w14:paraId="436FCDF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hAnsi="宋体"/>
                <w:b/>
                <w:sz w:val="24"/>
              </w:rPr>
              <w:t>保修</w:t>
            </w:r>
            <w:r>
              <w:rPr>
                <w:rFonts w:hint="default" w:hAnsi="宋体"/>
                <w:b/>
                <w:sz w:val="24"/>
              </w:rPr>
              <w:t>及售后服务</w:t>
            </w:r>
            <w:r>
              <w:rPr>
                <w:rFonts w:hint="eastAsia" w:hAnsi="宋体"/>
                <w:b/>
                <w:sz w:val="24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保修期为合同验收合格后的</w:t>
            </w:r>
            <w:r>
              <w:rPr>
                <w:rFonts w:hint="default" w:ascii="宋体" w:hAnsi="宋体"/>
                <w:bCs/>
                <w:szCs w:val="21"/>
              </w:rPr>
              <w:t>12</w:t>
            </w:r>
            <w:r>
              <w:rPr>
                <w:rFonts w:hint="eastAsia" w:ascii="宋体" w:hAnsi="宋体"/>
                <w:bCs/>
                <w:szCs w:val="21"/>
              </w:rPr>
              <w:t>个月。</w:t>
            </w:r>
            <w:bookmarkStart w:id="1" w:name="_GoBack"/>
            <w:bookmarkEnd w:id="1"/>
          </w:p>
        </w:tc>
        <w:tc>
          <w:tcPr>
            <w:tcW w:w="1281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3AEB3912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72A27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879D1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52AAA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D02B6"/>
    <w:rsid w:val="00FE15FA"/>
    <w:rsid w:val="00FF78CF"/>
    <w:rsid w:val="0279069A"/>
    <w:rsid w:val="07416EBF"/>
    <w:rsid w:val="093C12EB"/>
    <w:rsid w:val="0EB47357"/>
    <w:rsid w:val="146E303E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52669AD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545</Words>
  <Characters>742</Characters>
  <Lines>5</Lines>
  <Paragraphs>1</Paragraphs>
  <TotalTime>0</TotalTime>
  <ScaleCrop>false</ScaleCrop>
  <LinksUpToDate>false</LinksUpToDate>
  <CharactersWithSpaces>773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2026-04-22T09:59:37Z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