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辐射探测器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931D62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0" w:leftChars="0" w:firstLine="42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伽马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探测器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  <w:vertAlign w:val="baseline"/>
                <w:lang w:val="en-US" w:eastAsia="zh-CN"/>
              </w:rPr>
              <w:t>3台</w:t>
            </w:r>
          </w:p>
          <w:p w14:paraId="4D9C9D41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仪器类型：电离室</w:t>
            </w:r>
          </w:p>
          <w:p w14:paraId="6988D0EB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有效量程：10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nGy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/h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100m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Gy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/h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；</w:t>
            </w:r>
          </w:p>
          <w:p w14:paraId="083062F9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能量范围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60keV~3MeV；</w:t>
            </w:r>
          </w:p>
          <w:p w14:paraId="653DF48D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>相对固有误差：≤±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>%</w:t>
            </w:r>
          </w:p>
          <w:p w14:paraId="2C62AFC3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工作温度：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在-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℃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~+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℃范围内，能稳定工作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；</w:t>
            </w:r>
          </w:p>
          <w:p w14:paraId="2E4F1BCC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实时数据展示：实时显示当前探测器剂量率、实时监控主机与服务器通讯状态；</w:t>
            </w:r>
          </w:p>
          <w:p w14:paraId="21400D37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报警阈值设置：超阈值声光报警</w:t>
            </w:r>
            <w:r>
              <w:rPr>
                <w:rFonts w:hint="default" w:ascii="Times New Roman" w:hAnsi="Times New Roman" w:eastAsia="宋体" w:cs="Times New Roman"/>
                <w:lang w:eastAsia="zh-CN"/>
              </w:rPr>
              <w:t>；</w:t>
            </w:r>
          </w:p>
          <w:p w14:paraId="6E47EBB3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本地可保存</w:t>
            </w:r>
            <w:r>
              <w:rPr>
                <w:rFonts w:hint="default" w:ascii="Times New Roman" w:hAnsi="Times New Roman" w:eastAsia="宋体" w:cs="Times New Roman"/>
              </w:rPr>
              <w:t>历史数据记录</w:t>
            </w:r>
            <w:r>
              <w:rPr>
                <w:rFonts w:hint="default" w:ascii="Times New Roman" w:hAnsi="Times New Roman" w:eastAsia="宋体" w:cs="Times New Roman"/>
                <w:lang w:eastAsia="zh-CN"/>
              </w:rPr>
              <w:t>；</w:t>
            </w:r>
          </w:p>
          <w:p w14:paraId="0F4179A7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通讯故障，屏幕报警提示</w:t>
            </w:r>
            <w:r>
              <w:rPr>
                <w:rFonts w:hint="default" w:ascii="Times New Roman" w:hAnsi="Times New Roman" w:cs="Times New Roman"/>
                <w:lang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</w:rPr>
              <w:t xml:space="preserve"> </w:t>
            </w:r>
          </w:p>
          <w:p w14:paraId="64DF3E03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电磁兼容性：符合国标GB/T17626.2-2018和 GB/T17626.3-2016标准要求</w:t>
            </w:r>
            <w:r>
              <w:rPr>
                <w:rFonts w:hint="default" w:ascii="Times New Roman" w:hAnsi="Times New Roman" w:eastAsia="宋体" w:cs="Times New Roman"/>
                <w:lang w:eastAsia="zh-CN"/>
              </w:rPr>
              <w:t>。</w:t>
            </w:r>
          </w:p>
          <w:p w14:paraId="49230259">
            <w:pPr>
              <w:pStyle w:val="11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机械特性（振动特性）：正常工作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；</w:t>
            </w:r>
          </w:p>
          <w:p w14:paraId="2EAA1343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20" w:firstLineChars="200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以上标*的参数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需提供具有CMA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或CNAS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资质的第三方检测机构出具的检定、校准证书或者测试报告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其他参数需提供产品彩页或官网截图或报告，所有材料需在报价时提供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。</w:t>
            </w:r>
          </w:p>
          <w:p w14:paraId="792967F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0" w:leftChars="0" w:firstLine="42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中子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探测器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  <w:vertAlign w:val="baseline"/>
                <w:lang w:val="en-US" w:eastAsia="zh-CN"/>
              </w:rPr>
              <w:t>4台</w:t>
            </w:r>
          </w:p>
          <w:p w14:paraId="0101ED8A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仪器类型：正比计数器</w:t>
            </w:r>
          </w:p>
          <w:p w14:paraId="3BAD9D49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有效量程：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 xml:space="preserve">100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Sv/h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mSv/h；</w:t>
            </w:r>
          </w:p>
          <w:p w14:paraId="09098983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能量范围：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0.025eV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14 MeV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；</w:t>
            </w:r>
          </w:p>
          <w:p w14:paraId="63276D2F">
            <w:pPr>
              <w:pStyle w:val="11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>相对固有误差：≤±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>%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；</w:t>
            </w:r>
          </w:p>
          <w:p w14:paraId="2BF55D13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工作温度：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在-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℃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~+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℃范围内，能稳定工作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；</w:t>
            </w:r>
          </w:p>
          <w:p w14:paraId="2575386B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实时数据展示：实时显示当前探测器剂量率、实时监控主机与服务器通讯状态；</w:t>
            </w:r>
          </w:p>
          <w:p w14:paraId="33575BBF">
            <w:pPr>
              <w:pStyle w:val="11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报警阈值设置：超阈值声光报警</w:t>
            </w:r>
            <w:r>
              <w:rPr>
                <w:rFonts w:hint="default" w:ascii="Times New Roman" w:hAnsi="Times New Roman" w:eastAsia="宋体" w:cs="Times New Roman"/>
                <w:lang w:eastAsia="zh-CN"/>
              </w:rPr>
              <w:t>；</w:t>
            </w:r>
          </w:p>
          <w:p w14:paraId="5494D9EA">
            <w:pPr>
              <w:pStyle w:val="11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本地可保存</w:t>
            </w:r>
            <w:r>
              <w:rPr>
                <w:rFonts w:hint="default" w:ascii="Times New Roman" w:hAnsi="Times New Roman" w:eastAsia="宋体" w:cs="Times New Roman"/>
              </w:rPr>
              <w:t>历史数据记录</w:t>
            </w:r>
            <w:r>
              <w:rPr>
                <w:rFonts w:hint="default" w:ascii="Times New Roman" w:hAnsi="Times New Roman" w:eastAsia="宋体" w:cs="Times New Roman"/>
                <w:lang w:eastAsia="zh-CN"/>
              </w:rPr>
              <w:t>；</w:t>
            </w:r>
          </w:p>
          <w:p w14:paraId="2D535076">
            <w:pPr>
              <w:pStyle w:val="11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通讯故障，屏幕报警提示</w:t>
            </w:r>
            <w:r>
              <w:rPr>
                <w:rFonts w:hint="default" w:ascii="Times New Roman" w:hAnsi="Times New Roman" w:cs="Times New Roman"/>
                <w:lang w:eastAsia="zh-CN"/>
              </w:rPr>
              <w:t>；</w:t>
            </w:r>
          </w:p>
          <w:p w14:paraId="319C5F96">
            <w:pPr>
              <w:pStyle w:val="11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电磁兼容性：符合国标GB/T17626.2-2018和 GB/T17626.3-2016标准要求</w:t>
            </w:r>
            <w:r>
              <w:rPr>
                <w:rFonts w:hint="default" w:ascii="Times New Roman" w:hAnsi="Times New Roman" w:eastAsia="宋体" w:cs="Times New Roman"/>
                <w:lang w:eastAsia="zh-CN"/>
              </w:rPr>
              <w:t>。</w:t>
            </w:r>
          </w:p>
          <w:p w14:paraId="429C0D7F">
            <w:pPr>
              <w:pStyle w:val="11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机械特性（振动特性）：正常工作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；</w:t>
            </w:r>
          </w:p>
          <w:p w14:paraId="3448D139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20" w:firstLineChars="20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以上标*的参数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需提供具有CMA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或CNAS</w:t>
            </w:r>
            <w:r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  <w:t>资质的第三方检测机构出具的检定、校准证书或者测试报告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其他参数需提供产品彩页或官网截图或报告，所有材料需在报价时提供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。</w:t>
            </w:r>
          </w:p>
          <w:p w14:paraId="659A72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、通讯</w:t>
            </w:r>
          </w:p>
          <w:p w14:paraId="021CA9C0">
            <w:pPr>
              <w:pStyle w:val="11"/>
              <w:numPr>
                <w:ilvl w:val="0"/>
                <w:numId w:val="0"/>
              </w:numPr>
              <w:ind w:leftChars="20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按照EPICS IOC的标准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开发IOC</w:t>
            </w:r>
            <w:r>
              <w:rPr>
                <w:rFonts w:hint="default" w:ascii="Times New Roman" w:hAnsi="Times New Roman" w:cs="Times New Roman"/>
              </w:rPr>
              <w:t>实现远控功能，具体技术细节规范以EPICS相关文档为标准。</w:t>
            </w:r>
          </w:p>
          <w:p w14:paraId="494C630E">
            <w:pPr>
              <w:tabs>
                <w:tab w:val="left" w:pos="6915"/>
              </w:tabs>
              <w:ind w:firstLine="420" w:firstLineChars="200"/>
              <w:jc w:val="left"/>
              <w:rPr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使用业界广泛使用的标准协议，如工业通讯协议Modbus TCP/IP、可编程仪器标准命令SCPI等，以减少协议约定的工作量。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C487D">
            <w:pPr>
              <w:tabs>
                <w:tab w:val="left" w:pos="6915"/>
              </w:tabs>
              <w:jc w:val="left"/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交货期：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合同生效之日起120日内将货物送达至指定地点。</w:t>
            </w:r>
          </w:p>
          <w:p w14:paraId="520B0667">
            <w:pPr>
              <w:tabs>
                <w:tab w:val="left" w:pos="6915"/>
              </w:tabs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验收指标及验收要求：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供应商需提供计量院或计量站出具的仪器的校准证书</w:t>
            </w:r>
          </w:p>
          <w:p w14:paraId="4035BDF4">
            <w:pPr>
              <w:tabs>
                <w:tab w:val="left" w:pos="6915"/>
              </w:tabs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付款方式：</w:t>
            </w:r>
            <w:r>
              <w:rPr>
                <w:rFonts w:hint="eastAsia" w:ascii="Times New Roman" w:hAnsi="Times New Roman" w:cs="Times New Roman"/>
                <w:b w:val="0"/>
                <w:bCs/>
                <w:szCs w:val="21"/>
                <w:lang w:val="en-US" w:eastAsia="zh-CN"/>
              </w:rPr>
              <w:t>合同签订生效后甲方预付合同总金额的50 %，货到验收合格且收到乙方提供的全额发票后，甲方付清尾款。</w:t>
            </w:r>
          </w:p>
          <w:p w14:paraId="0D14AE74">
            <w:pPr>
              <w:tabs>
                <w:tab w:val="left" w:pos="6915"/>
              </w:tabs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保修及售后服务：</w:t>
            </w:r>
          </w:p>
          <w:p w14:paraId="40A9D1F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产品质保期为12个月，时间自验收合格之日起计算。质保期内货物出现质量问题的，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应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再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3日内以更换等方式解决，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并承担相应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费用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1BC35B"/>
    <w:multiLevelType w:val="singleLevel"/>
    <w:tmpl w:val="901BC35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F3C87C4C"/>
    <w:multiLevelType w:val="singleLevel"/>
    <w:tmpl w:val="F3C87C4C"/>
    <w:lvl w:ilvl="0" w:tentative="0">
      <w:start w:val="1"/>
      <w:numFmt w:val="decimal"/>
      <w:suff w:val="nothing"/>
      <w:lvlText w:val="%1、"/>
      <w:lvlJc w:val="left"/>
      <w:pPr>
        <w:ind w:left="-420"/>
      </w:pPr>
    </w:lvl>
  </w:abstractNum>
  <w:abstractNum w:abstractNumId="2">
    <w:nsid w:val="451921D7"/>
    <w:multiLevelType w:val="singleLevel"/>
    <w:tmpl w:val="451921D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21F7D99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2026-03-23T07:49:02Z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