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高纯锗伽马谱仪刻度源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4AB5477">
            <w:pPr>
              <w:keepNext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default" w:ascii="宋体" w:hAnsi="宋体" w:eastAsia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为开展同步辐射光源相关环境样品的放射性检测，需购置一批能量刻度源和效率刻度源。</w:t>
            </w:r>
          </w:p>
          <w:p w14:paraId="5AF2400E">
            <w:pPr>
              <w:keepNext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ascii="宋体" w:hAnsi="宋体"/>
                <w:bCs/>
                <w:iCs/>
                <w:szCs w:val="21"/>
              </w:rPr>
              <w:t>1、规格</w:t>
            </w:r>
          </w:p>
          <w:p w14:paraId="63CA63D9">
            <w:pPr>
              <w:keepNext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iCs/>
                <w:szCs w:val="21"/>
                <w:lang w:val="en-US" w:eastAsia="zh-CN"/>
              </w:rPr>
              <w:t>（1）</w:t>
            </w:r>
            <w:r>
              <w:rPr>
                <w:rFonts w:ascii="宋体" w:hAnsi="宋体"/>
                <w:bCs/>
                <w:iCs/>
                <w:szCs w:val="21"/>
              </w:rPr>
              <w:t>能量刻度点源</w:t>
            </w:r>
          </w:p>
          <w:tbl>
            <w:tblPr>
              <w:tblStyle w:val="6"/>
              <w:tblW w:w="4878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0"/>
              <w:gridCol w:w="1310"/>
              <w:gridCol w:w="982"/>
              <w:gridCol w:w="1376"/>
              <w:gridCol w:w="720"/>
            </w:tblGrid>
            <w:tr w14:paraId="490192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20" w:hRule="atLeast"/>
                <w:jc w:val="center"/>
              </w:trPr>
              <w:tc>
                <w:tcPr>
                  <w:tcW w:w="49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16A3520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/>
                      <w:color w:val="000000"/>
                      <w:sz w:val="21"/>
                      <w:shd w:val="clear" w:color="auto" w:fill="auto"/>
                    </w:rPr>
                    <w:t>序号</w:t>
                  </w:r>
                </w:p>
              </w:tc>
              <w:tc>
                <w:tcPr>
                  <w:tcW w:w="131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2567CE17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/>
                      <w:color w:val="000000"/>
                      <w:sz w:val="21"/>
                      <w:shd w:val="clear" w:color="auto" w:fill="auto"/>
                    </w:rPr>
                    <w:t>货物名称</w:t>
                  </w: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2FE485D6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/>
                      <w:color w:val="000000"/>
                      <w:sz w:val="21"/>
                      <w:shd w:val="clear" w:color="auto" w:fill="auto"/>
                    </w:rPr>
                    <w:t>核素</w:t>
                  </w:r>
                </w:p>
              </w:tc>
              <w:tc>
                <w:tcPr>
                  <w:tcW w:w="1376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4E7F0186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/>
                      <w:color w:val="000000"/>
                      <w:sz w:val="21"/>
                      <w:shd w:val="clear" w:color="auto" w:fill="auto"/>
                    </w:rPr>
                    <w:t>活度范围（Bq）</w:t>
                  </w:r>
                </w:p>
              </w:tc>
              <w:tc>
                <w:tcPr>
                  <w:tcW w:w="72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7A6D2BEE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/>
                      <w:color w:val="000000"/>
                      <w:sz w:val="21"/>
                      <w:shd w:val="clear" w:color="auto" w:fill="auto"/>
                    </w:rPr>
                    <w:t>数量</w:t>
                  </w:r>
                </w:p>
              </w:tc>
            </w:tr>
            <w:tr w14:paraId="765BA71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49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19A1788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1</w:t>
                  </w:r>
                </w:p>
              </w:tc>
              <w:tc>
                <w:tcPr>
                  <w:tcW w:w="131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52271CB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能量刻度点源</w:t>
                  </w: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3ED156BE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Cs-137</w:t>
                  </w:r>
                </w:p>
              </w:tc>
              <w:tc>
                <w:tcPr>
                  <w:tcW w:w="1376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6147FE4D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5000～9000</w:t>
                  </w:r>
                </w:p>
              </w:tc>
              <w:tc>
                <w:tcPr>
                  <w:tcW w:w="72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593AF95C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1枚</w:t>
                  </w:r>
                </w:p>
              </w:tc>
            </w:tr>
            <w:tr w14:paraId="061B3BA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49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56BB269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2</w:t>
                  </w:r>
                </w:p>
              </w:tc>
              <w:tc>
                <w:tcPr>
                  <w:tcW w:w="131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4E3B75A4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能量刻度点源</w:t>
                  </w: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4C71E1C7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Ba-133</w:t>
                  </w:r>
                </w:p>
              </w:tc>
              <w:tc>
                <w:tcPr>
                  <w:tcW w:w="1376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468D102B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5000～20000</w:t>
                  </w:r>
                </w:p>
              </w:tc>
              <w:tc>
                <w:tcPr>
                  <w:tcW w:w="72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2B5CFEE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1枚</w:t>
                  </w:r>
                </w:p>
              </w:tc>
            </w:tr>
            <w:tr w14:paraId="7EA94B9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49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0F23DB59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3</w:t>
                  </w:r>
                </w:p>
              </w:tc>
              <w:tc>
                <w:tcPr>
                  <w:tcW w:w="131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5E06A80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能量刻度点源</w:t>
                  </w: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0BAC6387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Eu-152</w:t>
                  </w:r>
                </w:p>
              </w:tc>
              <w:tc>
                <w:tcPr>
                  <w:tcW w:w="1376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0E07A0F6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5000～20000</w:t>
                  </w:r>
                </w:p>
              </w:tc>
              <w:tc>
                <w:tcPr>
                  <w:tcW w:w="72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513BE586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1枚</w:t>
                  </w:r>
                </w:p>
              </w:tc>
            </w:tr>
            <w:tr w14:paraId="3847C3B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9" w:hRule="atLeast"/>
                <w:jc w:val="center"/>
              </w:trPr>
              <w:tc>
                <w:tcPr>
                  <w:tcW w:w="49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3B9F303B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4</w:t>
                  </w:r>
                </w:p>
              </w:tc>
              <w:tc>
                <w:tcPr>
                  <w:tcW w:w="131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132CADB4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能量刻度点源</w:t>
                  </w: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6A04F769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Co-60</w:t>
                  </w:r>
                </w:p>
              </w:tc>
              <w:tc>
                <w:tcPr>
                  <w:tcW w:w="1376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4BC9275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5000～20000</w:t>
                  </w:r>
                </w:p>
              </w:tc>
              <w:tc>
                <w:tcPr>
                  <w:tcW w:w="72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</w:tcPr>
                <w:p w14:paraId="6409F27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  <w:shd w:val="clear" w:color="auto" w:fill="auto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  <w:shd w:val="clear" w:color="auto" w:fill="auto"/>
                    </w:rPr>
                    <w:t>1枚</w:t>
                  </w:r>
                </w:p>
              </w:tc>
            </w:tr>
          </w:tbl>
          <w:p w14:paraId="4AAF1B2B">
            <w:pPr>
              <w:keepNext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iCs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iCs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bCs/>
                <w:iCs/>
                <w:szCs w:val="21"/>
                <w:lang w:eastAsia="zh-CN"/>
              </w:rPr>
              <w:t>）</w:t>
            </w:r>
            <w:r>
              <w:rPr>
                <w:rFonts w:ascii="宋体" w:hAnsi="宋体"/>
                <w:bCs/>
                <w:iCs/>
                <w:szCs w:val="21"/>
              </w:rPr>
              <w:t>效率刻度源</w:t>
            </w:r>
          </w:p>
          <w:tbl>
            <w:tblPr>
              <w:tblStyle w:val="6"/>
              <w:tblW w:w="4877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0"/>
              <w:gridCol w:w="1310"/>
              <w:gridCol w:w="982"/>
              <w:gridCol w:w="1375"/>
              <w:gridCol w:w="720"/>
            </w:tblGrid>
            <w:tr w14:paraId="7894BCF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2" w:hRule="atLeast"/>
                <w:jc w:val="center"/>
              </w:trPr>
              <w:tc>
                <w:tcPr>
                  <w:tcW w:w="49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1F8B1A4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/>
                      <w:color w:val="000000"/>
                      <w:sz w:val="21"/>
                    </w:rPr>
                    <w:t>序号</w:t>
                  </w:r>
                </w:p>
              </w:tc>
              <w:tc>
                <w:tcPr>
                  <w:tcW w:w="131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BA18F54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/>
                      <w:color w:val="000000"/>
                      <w:sz w:val="21"/>
                    </w:rPr>
                    <w:t>货物名称</w:t>
                  </w: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53F1C29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/>
                      <w:color w:val="000000"/>
                      <w:sz w:val="21"/>
                    </w:rPr>
                    <w:t>核素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00912F1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/>
                      <w:color w:val="000000"/>
                      <w:sz w:val="21"/>
                    </w:rPr>
                    <w:t>活度范围（Bq）</w:t>
                  </w:r>
                </w:p>
              </w:tc>
              <w:tc>
                <w:tcPr>
                  <w:tcW w:w="720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88A9E6D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/>
                      <w:color w:val="000000"/>
                      <w:sz w:val="21"/>
                    </w:rPr>
                    <w:t>数量</w:t>
                  </w:r>
                </w:p>
              </w:tc>
            </w:tr>
            <w:tr w14:paraId="4FAF2B8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restart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F48172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1</w:t>
                  </w:r>
                </w:p>
              </w:tc>
              <w:tc>
                <w:tcPr>
                  <w:tcW w:w="1310" w:type="dxa"/>
                  <w:vMerge w:val="restart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FD07896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生物灰效率刻度源</w:t>
                  </w:r>
                </w:p>
                <w:p w14:paraId="55908AD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hint="eastAsia" w:ascii="Times New Roman" w:hAnsi="Times New Roman" w:eastAsia="宋体"/>
                      <w:b w:val="0"/>
                      <w:color w:val="000000"/>
                      <w:sz w:val="21"/>
                      <w:lang w:eastAsia="zh-CN"/>
                    </w:rPr>
                  </w:pPr>
                  <w:r>
                    <w:rPr>
                      <w:rFonts w:hint="eastAsia"/>
                      <w:b w:val="0"/>
                      <w:color w:val="000000"/>
                      <w:sz w:val="21"/>
                      <w:lang w:eastAsia="zh-CN"/>
                    </w:rPr>
                    <w:t>（</w:t>
                  </w:r>
                  <w:r>
                    <w:rPr>
                      <w:rFonts w:hint="eastAsia"/>
                      <w:b w:val="0"/>
                      <w:color w:val="000000"/>
                      <w:sz w:val="21"/>
                      <w:lang w:val="en-US" w:eastAsia="zh-CN"/>
                    </w:rPr>
                    <w:t>植物灰</w:t>
                  </w:r>
                  <w:r>
                    <w:rPr>
                      <w:rFonts w:hint="eastAsia"/>
                      <w:b w:val="0"/>
                      <w:color w:val="000000"/>
                      <w:sz w:val="21"/>
                      <w:lang w:eastAsia="zh-CN"/>
                    </w:rPr>
                    <w:t>）</w:t>
                  </w: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8083E9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Am-241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676F401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1000～3000</w:t>
                  </w:r>
                </w:p>
              </w:tc>
              <w:tc>
                <w:tcPr>
                  <w:tcW w:w="720" w:type="dxa"/>
                  <w:vMerge w:val="restart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80057EC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hint="eastAsia"/>
                      <w:b w:val="0"/>
                      <w:color w:val="000000"/>
                      <w:sz w:val="21"/>
                      <w:lang w:val="en-US" w:eastAsia="zh-CN"/>
                    </w:rPr>
                    <w:t>1</w:t>
                  </w: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枚</w:t>
                  </w:r>
                </w:p>
              </w:tc>
            </w:tr>
            <w:tr w14:paraId="14FAC7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501505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109B58B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0FC992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Cd-109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A59F339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A430C3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</w:tr>
            <w:tr w14:paraId="0FB6FAE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E49A76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0A94E74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945C71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Co-57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9A5AFFE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D1F517B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</w:tr>
            <w:tr w14:paraId="55736F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77921A9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8E0B96D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AE6C2D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Ce-139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DBB95CC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0D0543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</w:tr>
            <w:tr w14:paraId="050D45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2674BD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E396FF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C0E602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Mn-54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321C22B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360838E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</w:tr>
            <w:tr w14:paraId="0BDBBAA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303B7AC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7490B3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75E7D19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Zn-65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F06EAA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6087D6E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</w:tr>
            <w:tr w14:paraId="2B988B4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EBA0A4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E0B2EC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F0CC54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Sn-113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B8CCD96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2C802A2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</w:tr>
            <w:tr w14:paraId="0CA373F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E2D27E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0474F1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BA07691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Cs-137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38511B1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1000～3000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C13F7C9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</w:tr>
            <w:tr w14:paraId="47035A7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ACA0FA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AF6C0E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0B0758E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Y-88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5D336DB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CB6243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</w:tr>
            <w:tr w14:paraId="1AE2AF4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7B1D68C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BD0DE4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9A6E242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Co-60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8059F6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3000～10000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752A15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</w:p>
              </w:tc>
            </w:tr>
            <w:tr w14:paraId="1A8378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restart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7C6B97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2</w:t>
                  </w:r>
                </w:p>
              </w:tc>
              <w:tc>
                <w:tcPr>
                  <w:tcW w:w="1310" w:type="dxa"/>
                  <w:vMerge w:val="restart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37494E2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土壤效率刻度源</w:t>
                  </w: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2CD5F4B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Am-241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454537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1000～3000</w:t>
                  </w:r>
                </w:p>
              </w:tc>
              <w:tc>
                <w:tcPr>
                  <w:tcW w:w="720" w:type="dxa"/>
                  <w:vMerge w:val="restart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2FEBBBF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hint="eastAsia" w:eastAsia="宋体"/>
                      <w:color w:val="000000"/>
                      <w:lang w:eastAsia="zh-CN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1</w:t>
                  </w:r>
                  <w:r>
                    <w:rPr>
                      <w:rFonts w:hint="eastAsia"/>
                      <w:b w:val="0"/>
                      <w:color w:val="000000"/>
                      <w:sz w:val="21"/>
                      <w:lang w:val="en-US" w:eastAsia="zh-CN"/>
                    </w:rPr>
                    <w:t>枚</w:t>
                  </w:r>
                </w:p>
              </w:tc>
            </w:tr>
            <w:tr w14:paraId="504730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C69343B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D79B93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A5EE287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Cd-109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8FB3A6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AFDA7C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3C4F005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B623AB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9A657A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0A1711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Co-57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3975CF4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931FE74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4BCA17C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C1AECF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BABB52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81C005C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Ce-139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771713B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1662D3C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21E2BF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5089E5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A89F8B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301227F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Mn-54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74B9D7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63B286D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53ED61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5E06C7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6A0500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74E2E0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Zn-65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B9342DC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2FCC3CD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202FDD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0A4B351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61DFA51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E660DF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Sn-113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9AFB22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9889F99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0936CB0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102EC2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139DF9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395A344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Cs-137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14338F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1000～3000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FD39BF4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749F742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A5BA8A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269669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75AA00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Y-88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631FEC1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8635D62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021324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6441461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49575A1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3C22E29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Co-60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A9EB06B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3000～10000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5AD7E9E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5CC3054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restart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241ED5D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</w:t>
                  </w:r>
                </w:p>
              </w:tc>
              <w:tc>
                <w:tcPr>
                  <w:tcW w:w="1310" w:type="dxa"/>
                  <w:vMerge w:val="restart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2DFB41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水效率刻度源</w:t>
                  </w: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EAD8E3C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Am-241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10E2C36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1000～3000</w:t>
                  </w:r>
                </w:p>
              </w:tc>
              <w:tc>
                <w:tcPr>
                  <w:tcW w:w="720" w:type="dxa"/>
                  <w:vMerge w:val="restart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53BB99D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hint="eastAsia" w:eastAsia="宋体"/>
                      <w:color w:val="000000"/>
                      <w:lang w:eastAsia="zh-CN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1</w:t>
                  </w:r>
                  <w:r>
                    <w:rPr>
                      <w:rFonts w:hint="eastAsia"/>
                      <w:b w:val="0"/>
                      <w:color w:val="000000"/>
                      <w:sz w:val="21"/>
                      <w:lang w:val="en-US" w:eastAsia="zh-CN"/>
                    </w:rPr>
                    <w:t>枚</w:t>
                  </w:r>
                </w:p>
              </w:tc>
            </w:tr>
            <w:tr w14:paraId="630C602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BECD1A4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7DDFFE4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5378BD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Cd-109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088490D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A33D306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06999F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65F4BCE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5C9310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9E8D74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Co-57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A2813B6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77D415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42C674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E670DE7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61CEF77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CC127F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Ce-139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5FC12DF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FD736DB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26AB6DC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CEDDD6F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A4FA09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7E06A11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Mn-54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54906E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88ACEF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0CA38D8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4D42077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5BB997B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A040969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Zn-65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054F4A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5D8F9FB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3375F7C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218285C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52F13A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92824E1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Sn-113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BBA3B7F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EB2BC9C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5BA848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14DAEE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956E43B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8F3FA5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Cs-137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A66ADC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1000～3000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EEABE2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0F6F8BA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6B399C9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F4D2D3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56DE45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Y-88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8AC0552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245B43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6380B19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AC7902E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882D257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BAFC227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Co-60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DD87982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3000～10000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6FCE0F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5A099AC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restart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F88A4A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4</w:t>
                  </w:r>
                </w:p>
              </w:tc>
              <w:tc>
                <w:tcPr>
                  <w:tcW w:w="1310" w:type="dxa"/>
                  <w:vMerge w:val="restart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5124612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气溶胶滤膜源</w:t>
                  </w: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47EEF6C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Am-241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A7997DF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1000～3000</w:t>
                  </w:r>
                </w:p>
              </w:tc>
              <w:tc>
                <w:tcPr>
                  <w:tcW w:w="720" w:type="dxa"/>
                  <w:vMerge w:val="restart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2F48E3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hint="eastAsia" w:eastAsia="宋体"/>
                      <w:color w:val="000000"/>
                      <w:lang w:eastAsia="zh-CN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1</w:t>
                  </w:r>
                  <w:r>
                    <w:rPr>
                      <w:rFonts w:hint="eastAsia"/>
                      <w:b w:val="0"/>
                      <w:color w:val="000000"/>
                      <w:sz w:val="21"/>
                      <w:lang w:val="en-US" w:eastAsia="zh-CN"/>
                    </w:rPr>
                    <w:t>枚</w:t>
                  </w:r>
                </w:p>
              </w:tc>
            </w:tr>
            <w:tr w14:paraId="16FA115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B9A9C1E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C13B381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B1E59D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Cd-109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BD2E977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31ABAD2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18C4134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4A8B9B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EF24756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9589C1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Co-57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62C358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F7E0B5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73ACAA4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BD9D40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E5EF5CC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CB7CE9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Ce-139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2AF19D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16343F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69E662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AA3B55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C06703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416860B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Mn-54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3719B95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D0E5234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1E2B69C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BAFC08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32B68BE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B71CD4D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Zn-65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FF7C7D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984AEEF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6A908B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A0C250E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97D702F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442B39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Sn-113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AC5594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33B7BD7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46E451C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7925D92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F714C3D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F5ACA6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Cs-137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CBEA872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1000～3000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7D8F9664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56F13DD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1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5B0AE8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5D93BED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6568C987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Y-88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83DAA1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3000～30000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12DFE36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  <w:tr w14:paraId="665D01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0" w:hRule="atLeast"/>
                <w:jc w:val="center"/>
              </w:trPr>
              <w:tc>
                <w:tcPr>
                  <w:tcW w:w="49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5698E7CC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131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2579D2F6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  <w:tc>
                <w:tcPr>
                  <w:tcW w:w="98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4F8F9FBE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Co-60</w:t>
                  </w:r>
                </w:p>
              </w:tc>
              <w:tc>
                <w:tcPr>
                  <w:tcW w:w="1375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0B1571A4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color w:val="000000"/>
                    </w:rPr>
                  </w:pPr>
                  <w:r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  <w:t>3000～10000</w:t>
                  </w:r>
                </w:p>
              </w:tc>
              <w:tc>
                <w:tcPr>
                  <w:tcW w:w="720" w:type="dxa"/>
                  <w:vMerge w:val="continue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FFFFFF"/>
                  <w:vAlign w:val="center"/>
                </w:tcPr>
                <w:p w14:paraId="37942B3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88" w:lineRule="auto"/>
                    <w:jc w:val="center"/>
                    <w:textAlignment w:val="auto"/>
                    <w:rPr>
                      <w:rFonts w:ascii="Times New Roman" w:hAnsi="Times New Roman" w:eastAsia="宋体"/>
                      <w:b w:val="0"/>
                      <w:color w:val="000000"/>
                      <w:sz w:val="21"/>
                    </w:rPr>
                  </w:pPr>
                </w:p>
              </w:tc>
            </w:tr>
          </w:tbl>
          <w:p w14:paraId="4B229A8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宋体"/>
                <w:b w:val="0"/>
                <w:sz w:val="24"/>
                <w:lang w:val="en-US"/>
              </w:rPr>
            </w:pPr>
            <w:r>
              <w:rPr>
                <w:rFonts w:hint="eastAsia"/>
                <w:b w:val="0"/>
                <w:sz w:val="24"/>
                <w:lang w:val="en-US" w:eastAsia="zh-CN"/>
              </w:rPr>
              <w:t>（3）一组放射</w:t>
            </w:r>
            <w:r>
              <w:rPr>
                <w:rFonts w:hint="eastAsia" w:ascii="Times New Roman" w:hAnsi="Times New Roman" w:eastAsia="宋体"/>
                <w:b w:val="0"/>
                <w:sz w:val="24"/>
                <w:lang w:val="en-US" w:eastAsia="zh-CN"/>
              </w:rPr>
              <w:t>源储存保险柜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。</w:t>
            </w:r>
          </w:p>
          <w:p w14:paraId="5684669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  <w:r>
              <w:rPr>
                <w:rFonts w:ascii="Times New Roman" w:hAnsi="Times New Roman" w:eastAsia="宋体"/>
                <w:b w:val="0"/>
                <w:sz w:val="24"/>
              </w:rPr>
              <w:t>2、技术要求</w:t>
            </w:r>
          </w:p>
          <w:p w14:paraId="2D1F0AD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Times New Roman" w:hAnsi="Times New Roman" w:eastAsia="宋体"/>
                <w:b w:val="0"/>
                <w:sz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（1）效率刻度源为10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种</w:t>
            </w:r>
            <w:r>
              <w:rPr>
                <w:rFonts w:ascii="Times New Roman" w:hAnsi="Times New Roman" w:eastAsia="宋体"/>
                <w:b w:val="0"/>
                <w:sz w:val="24"/>
              </w:rPr>
              <w:t>核素混合源。混合源的基质、装样方式和装样重量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及能量刻度点源</w:t>
            </w:r>
            <w:r>
              <w:rPr>
                <w:rFonts w:ascii="Times New Roman" w:hAnsi="Times New Roman" w:eastAsia="宋体"/>
                <w:b w:val="0"/>
                <w:sz w:val="24"/>
              </w:rPr>
              <w:t>按照中国计量科学研究院常用的对应基质（生物灰、土壤、水体、气溶胶滤膜）及常用做法执行；</w:t>
            </w:r>
          </w:p>
          <w:p w14:paraId="61DF825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（2）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提供</w:t>
            </w:r>
            <w:r>
              <w:rPr>
                <w:rFonts w:ascii="Times New Roman" w:hAnsi="Times New Roman" w:eastAsia="宋体"/>
                <w:b w:val="0"/>
                <w:sz w:val="24"/>
              </w:rPr>
              <w:t>每枚放射源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的活度证明文件</w:t>
            </w:r>
            <w:r>
              <w:rPr>
                <w:rFonts w:hint="eastAsia"/>
                <w:b w:val="0"/>
                <w:sz w:val="24"/>
                <w:lang w:eastAsia="zh-CN"/>
              </w:rPr>
              <w:t>；</w:t>
            </w:r>
          </w:p>
          <w:p w14:paraId="4856037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（3）各核素活度的扩展不确定度（k=2）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≤6</w:t>
            </w:r>
            <w:r>
              <w:rPr>
                <w:rFonts w:ascii="Times New Roman" w:hAnsi="Times New Roman" w:eastAsia="宋体"/>
                <w:b w:val="0"/>
                <w:sz w:val="24"/>
              </w:rPr>
              <w:t>%</w:t>
            </w:r>
            <w:r>
              <w:rPr>
                <w:rFonts w:hint="eastAsia"/>
                <w:b w:val="0"/>
                <w:sz w:val="24"/>
                <w:lang w:eastAsia="zh-CN"/>
              </w:rPr>
              <w:t>；</w:t>
            </w:r>
          </w:p>
          <w:p w14:paraId="7AD5F8A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（4）密封放射源的结构和性能符合国家相关标准，保证在正常使用条件下无放射性物质泄漏，表面污染与泄漏检验合格</w:t>
            </w:r>
            <w:r>
              <w:rPr>
                <w:rFonts w:hint="eastAsia"/>
                <w:b w:val="0"/>
                <w:sz w:val="24"/>
                <w:lang w:eastAsia="zh-CN"/>
              </w:rPr>
              <w:t>；</w:t>
            </w:r>
          </w:p>
          <w:p w14:paraId="5D78C10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（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5</w:t>
            </w:r>
            <w:r>
              <w:rPr>
                <w:rFonts w:hint="eastAsia"/>
                <w:b w:val="0"/>
                <w:bCs/>
                <w:sz w:val="24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sz w:val="24"/>
              </w:rPr>
              <w:t>配合采购方办理豁免备案手续，负责提供活度证明、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放射</w:t>
            </w:r>
            <w:r>
              <w:rPr>
                <w:rFonts w:ascii="Times New Roman" w:hAnsi="Times New Roman" w:eastAsia="宋体"/>
                <w:b w:val="0"/>
                <w:sz w:val="24"/>
              </w:rPr>
              <w:t>源清单等备案所需材料，直至备案完成</w:t>
            </w:r>
            <w:r>
              <w:rPr>
                <w:rFonts w:hint="eastAsia"/>
                <w:b w:val="0"/>
                <w:sz w:val="24"/>
                <w:lang w:eastAsia="zh-CN"/>
              </w:rPr>
              <w:t>；</w:t>
            </w:r>
          </w:p>
          <w:p w14:paraId="1112AEB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/>
                <w:b w:val="0"/>
                <w:sz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lang w:eastAsia="zh-CN"/>
              </w:rPr>
              <w:t>（</w:t>
            </w:r>
            <w:r>
              <w:rPr>
                <w:rFonts w:hint="eastAsia"/>
                <w:b w:val="0"/>
                <w:bCs/>
                <w:sz w:val="24"/>
                <w:lang w:val="en-US" w:eastAsia="zh-CN"/>
              </w:rPr>
              <w:t>6</w:t>
            </w:r>
            <w:r>
              <w:rPr>
                <w:rFonts w:hint="eastAsia"/>
                <w:b w:val="0"/>
                <w:bCs/>
                <w:sz w:val="24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sz w:val="24"/>
              </w:rPr>
              <w:t>运输包装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满足</w:t>
            </w:r>
            <w:r>
              <w:rPr>
                <w:rFonts w:ascii="Times New Roman" w:hAnsi="Times New Roman" w:eastAsia="宋体"/>
                <w:b w:val="0"/>
                <w:sz w:val="24"/>
              </w:rPr>
              <w:t>国家相关标准应的要求</w:t>
            </w:r>
            <w:r>
              <w:rPr>
                <w:rFonts w:hint="eastAsia"/>
                <w:b w:val="0"/>
                <w:sz w:val="24"/>
                <w:lang w:eastAsia="zh-CN"/>
              </w:rPr>
              <w:t>；</w:t>
            </w:r>
          </w:p>
          <w:p w14:paraId="022473F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（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7</w:t>
            </w:r>
            <w:r>
              <w:rPr>
                <w:rFonts w:ascii="Times New Roman" w:hAnsi="Times New Roman" w:eastAsia="宋体"/>
                <w:b w:val="0"/>
                <w:sz w:val="24"/>
              </w:rPr>
              <w:t>）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保险</w:t>
            </w:r>
            <w:r>
              <w:rPr>
                <w:rFonts w:ascii="Times New Roman" w:hAnsi="Times New Roman" w:eastAsia="宋体"/>
                <w:b w:val="0"/>
                <w:sz w:val="24"/>
              </w:rPr>
              <w:t>柜门配备两把相互独立的锁具，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另外配备存放</w:t>
            </w:r>
            <w:r>
              <w:rPr>
                <w:rFonts w:ascii="Times New Roman" w:hAnsi="Times New Roman" w:eastAsia="宋体"/>
                <w:b w:val="0"/>
                <w:sz w:val="24"/>
              </w:rPr>
              <w:t>钥匙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的密码箱</w:t>
            </w:r>
            <w:r>
              <w:rPr>
                <w:rFonts w:hint="eastAsia"/>
                <w:b w:val="0"/>
                <w:sz w:val="24"/>
                <w:lang w:eastAsia="zh-CN"/>
              </w:rPr>
              <w:t>；</w:t>
            </w:r>
          </w:p>
          <w:p w14:paraId="13B6E9E5">
            <w:pPr>
              <w:keepNext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/>
                <w:b w:val="0"/>
                <w:sz w:val="24"/>
              </w:rPr>
              <w:t>（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9</w:t>
            </w:r>
            <w:r>
              <w:rPr>
                <w:rFonts w:ascii="Times New Roman" w:hAnsi="Times New Roman" w:eastAsia="宋体"/>
                <w:b w:val="0"/>
                <w:sz w:val="24"/>
              </w:rPr>
              <w:t>）内部空间满足全部刻度源（含运输包装容器）的存放需求并适当预留，内部设置可调隔层或源架，便于源的分类存放与取用</w:t>
            </w:r>
            <w:r>
              <w:rPr>
                <w:rFonts w:hint="eastAsia"/>
                <w:b w:val="0"/>
                <w:sz w:val="24"/>
                <w:lang w:eastAsia="zh-CN"/>
              </w:rPr>
              <w:t>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20D85">
            <w:pPr>
              <w:keepNext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ascii="Times New Roman" w:hAnsi="Times New Roman" w:eastAsia="宋体"/>
                <w:b w:val="0"/>
                <w:sz w:val="24"/>
              </w:rPr>
              <w:t>合同签订之日起6个月内货到采购人现场。</w:t>
            </w:r>
          </w:p>
          <w:p w14:paraId="65D005DD">
            <w:pPr>
              <w:keepNext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ascii="Times New Roman" w:hAnsi="Times New Roman" w:eastAsia="宋体"/>
                <w:b w:val="0"/>
                <w:sz w:val="24"/>
              </w:rPr>
              <w:t>合同签订之日起6个月内货到采购人现场。</w:t>
            </w:r>
          </w:p>
          <w:p w14:paraId="1041627B">
            <w:pPr>
              <w:keepNext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ascii="Times New Roman" w:hAnsi="Times New Roman" w:eastAsia="宋体"/>
                <w:b w:val="0"/>
                <w:sz w:val="24"/>
              </w:rPr>
              <w:t>合同签订后预付合同总金额的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5</w:t>
            </w:r>
            <w:r>
              <w:rPr>
                <w:rFonts w:ascii="Times New Roman" w:hAnsi="Times New Roman" w:eastAsia="宋体"/>
                <w:b w:val="0"/>
                <w:sz w:val="24"/>
              </w:rPr>
              <w:t>0%。合同执行完成并验收合格，且收到供应商提供的全额发票，付清尾款。</w:t>
            </w:r>
          </w:p>
          <w:p w14:paraId="1B357F3F">
            <w:pPr>
              <w:keepNext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/>
                <w:b w:val="0"/>
                <w:sz w:val="24"/>
                <w:lang w:val="en-US" w:eastAsia="zh-CN"/>
              </w:rPr>
              <w:t>供应商提供活度证明文件</w:t>
            </w:r>
            <w:r>
              <w:rPr>
                <w:rFonts w:ascii="Times New Roman" w:hAnsi="Times New Roman" w:eastAsia="宋体"/>
                <w:b w:val="0"/>
                <w:sz w:val="24"/>
              </w:rPr>
              <w:t>。</w:t>
            </w:r>
          </w:p>
          <w:p w14:paraId="6299CA20">
            <w:pPr>
              <w:keepNext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ascii="Times New Roman" w:hAnsi="Times New Roman" w:eastAsia="宋体"/>
                <w:b w:val="0"/>
                <w:sz w:val="24"/>
              </w:rPr>
              <w:t>保修期不少于一年，起始时间以全部设备通过最终验收之日起开始计算。在保修期内，非采购人人为原因引起的设备故障，供应商负责免费维修和免费更换零部件。供应商应于接到采购人维修通知后24小时内(法定假期除外)进行响应，需要抵达现场进行维修的，供应商应在两个工作日内抵达现场，并应在合理的时间内完成维修。</w:t>
            </w:r>
          </w:p>
          <w:p w14:paraId="5C90D89F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36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1A615B73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2026-09-21T09:01:22Z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