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采集卡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F3498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</w:pPr>
            <w:r>
              <w:rPr>
                <w:rFonts w:hint="eastAsia"/>
              </w:rPr>
              <w:t>采购高性能</w:t>
            </w:r>
            <w:r>
              <w:t>SoC FPGA开发平台</w:t>
            </w:r>
            <w:r>
              <w:rPr>
                <w:rFonts w:hint="eastAsia"/>
              </w:rPr>
              <w:t>及模数转换模块</w:t>
            </w:r>
            <w:r>
              <w:t>，包含核心板、载板、散热组件、下载调试工具、电源及基础配套附件。设备应满足高速数据采集、实时数字信号处理、PCIe高速传输、嵌入式Linux运行及多通道高速接口扩展等应用需求。</w:t>
            </w:r>
          </w:p>
          <w:p w14:paraId="40F4F192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eastAsia="zh-CN"/>
              </w:rPr>
            </w:pPr>
            <w:r>
              <w:t>主要技术参数要求</w:t>
            </w:r>
            <w:r>
              <w:rPr>
                <w:rFonts w:hint="eastAsia"/>
                <w:lang w:eastAsia="zh-CN"/>
              </w:rPr>
              <w:t>：</w:t>
            </w:r>
          </w:p>
          <w:tbl>
            <w:tblPr>
              <w:tblStyle w:val="6"/>
              <w:tblW w:w="4998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26"/>
              <w:gridCol w:w="4164"/>
              <w:gridCol w:w="426"/>
            </w:tblGrid>
            <w:tr w14:paraId="2B8089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5" w:type="pct"/>
                  <w:shd w:val="clear" w:color="auto" w:fill="auto"/>
                  <w:vAlign w:val="top"/>
                </w:tcPr>
                <w:p w14:paraId="7C66565A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/>
                    </w:rPr>
                    <w:t>名称</w:t>
                  </w:r>
                </w:p>
              </w:tc>
              <w:tc>
                <w:tcPr>
                  <w:tcW w:w="4204" w:type="pct"/>
                  <w:shd w:val="clear" w:color="auto" w:fill="auto"/>
                  <w:vAlign w:val="top"/>
                </w:tcPr>
                <w:p w14:paraId="2578DDFE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/>
                    </w:rPr>
                    <w:t>规格参数</w:t>
                  </w:r>
                </w:p>
              </w:tc>
              <w:tc>
                <w:tcPr>
                  <w:tcW w:w="339" w:type="pct"/>
                  <w:shd w:val="clear" w:color="auto" w:fill="auto"/>
                  <w:vAlign w:val="top"/>
                </w:tcPr>
                <w:p w14:paraId="2052848F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/>
                    </w:rPr>
                    <w:t>数量</w:t>
                  </w:r>
                </w:p>
              </w:tc>
            </w:tr>
            <w:tr w14:paraId="6CFEAD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5" w:type="pct"/>
                  <w:vAlign w:val="top"/>
                </w:tcPr>
                <w:p w14:paraId="4643C703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/>
                      <w:vertAlign w:val="baseline"/>
                      <w:lang w:eastAsia="zh-CN"/>
                    </w:rPr>
                  </w:pPr>
                  <w:r>
                    <w:rPr>
                      <w:rFonts w:hint="eastAsia"/>
                    </w:rPr>
                    <w:t>数字处理</w:t>
                  </w:r>
                  <w:r>
                    <w:rPr>
                      <w:rFonts w:hint="eastAsia"/>
                      <w:lang w:val="en-US" w:eastAsia="zh-CN"/>
                    </w:rPr>
                    <w:t>底板</w:t>
                  </w:r>
                </w:p>
              </w:tc>
              <w:tc>
                <w:tcPr>
                  <w:tcW w:w="4204" w:type="pct"/>
                </w:tcPr>
                <w:p w14:paraId="00EC0B20">
                  <w:pPr>
                    <w:pStyle w:val="11"/>
                    <w:keepNext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ind w:firstLineChars="0"/>
                    <w:textAlignment w:val="auto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采用高性能FPGA器件，</w:t>
                  </w:r>
                  <w:r>
                    <w:t>内部集成多核应用处理器、实时处理器、可编程逻辑资源及高速串行收发器</w:t>
                  </w:r>
                  <w:r>
                    <w:rPr>
                      <w:rFonts w:hint="eastAsia"/>
                    </w:rPr>
                    <w:t>；</w:t>
                  </w:r>
                  <w:r>
                    <w:t>等效逻辑单元数量不少于110万</w:t>
                  </w:r>
                  <w:r>
                    <w:rPr>
                      <w:rFonts w:hint="eastAsia"/>
                    </w:rPr>
                    <w:t>，</w:t>
                  </w:r>
                  <w:r>
                    <w:t>片上块存储器容量不低于34Mb</w:t>
                  </w:r>
                  <w:r>
                    <w:rPr>
                      <w:rFonts w:hint="eastAsia"/>
                    </w:rPr>
                    <w:t>，</w:t>
                  </w:r>
                  <w:r>
                    <w:t>应配置不少于16路、单通道速率不低于28Gb/s的高速串行收发器</w:t>
                  </w:r>
                  <w:r>
                    <w:rPr>
                      <w:rFonts w:hint="eastAsia"/>
                    </w:rPr>
                    <w:t>；</w:t>
                  </w:r>
                  <w:r>
                    <w:t>处理系统侧支持不少于1路PCI Express Gen2 x4接口</w:t>
                  </w:r>
                  <w:r>
                    <w:rPr>
                      <w:rFonts w:hint="eastAsia"/>
                    </w:rPr>
                    <w:t>。</w:t>
                  </w:r>
                </w:p>
                <w:p w14:paraId="1198DAB3">
                  <w:pPr>
                    <w:pStyle w:val="11"/>
                    <w:keepNext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ind w:firstLineChars="0"/>
                    <w:textAlignment w:val="auto"/>
                  </w:pPr>
                  <w:r>
                    <w:t>支持不少于2路USB 3.0接口资源，至少引出1路Type-C物理接口</w:t>
                  </w:r>
                  <w:r>
                    <w:rPr>
                      <w:rFonts w:hint="eastAsia"/>
                    </w:rPr>
                    <w:t>；</w:t>
                  </w:r>
                  <w:r>
                    <w:t>处理系统侧支持不少于2路UART接口</w:t>
                  </w:r>
                  <w:r>
                    <w:rPr>
                      <w:rFonts w:hint="eastAsia"/>
                    </w:rPr>
                    <w:t>；</w:t>
                  </w:r>
                  <w:r>
                    <w:t>处理系统应支持不少于4路千兆以太网控制器资源，至少提供1路10/100/1000Mbps RJ45接口</w:t>
                  </w:r>
                  <w:r>
                    <w:rPr>
                      <w:rFonts w:hint="eastAsia"/>
                    </w:rPr>
                    <w:t xml:space="preserve"> ；</w:t>
                  </w:r>
                  <w:r>
                    <w:t>配置不少于2个标准FMC HPC扩展接口，支持高速ADC、DAC及其他FMC功能子卡扩展</w:t>
                  </w:r>
                  <w:r>
                    <w:rPr>
                      <w:rFonts w:hint="eastAsia"/>
                    </w:rPr>
                    <w:t>；</w:t>
                  </w:r>
                  <w:r>
                    <w:t>配置1路标准PCIe x16板卡接口，可安装于PC或工控机中，用于高速数据传输</w:t>
                  </w:r>
                  <w:r>
                    <w:rPr>
                      <w:rFonts w:hint="eastAsia"/>
                    </w:rPr>
                    <w:t>；</w:t>
                  </w:r>
                  <w:r>
                    <w:t>提供不少于2路差分参考时钟输入接口，可用于高速收发器及通信协议测试</w:t>
                  </w:r>
                  <w:r>
                    <w:rPr>
                      <w:rFonts w:hint="eastAsia"/>
                    </w:rPr>
                    <w:t>。</w:t>
                  </w:r>
                </w:p>
                <w:p w14:paraId="17BDE027">
                  <w:pPr>
                    <w:keepNext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/>
                      <w:vertAlign w:val="baseline"/>
                      <w:lang w:eastAsia="zh-CN"/>
                    </w:rPr>
                  </w:pPr>
                  <w:r>
                    <w:t>配置与核心器件匹配的散热器及主动散热风扇，满足高负载连续运行要求</w:t>
                  </w:r>
                  <w:r>
                    <w:rPr>
                      <w:rFonts w:hint="eastAsia"/>
                    </w:rPr>
                    <w:t>；</w:t>
                  </w:r>
                  <w:r>
                    <w:t>采用直流12V供电</w:t>
                  </w:r>
                  <w:r>
                    <w:rPr>
                      <w:rFonts w:hint="eastAsia"/>
                    </w:rPr>
                    <w:t>。</w:t>
                  </w:r>
                </w:p>
              </w:tc>
              <w:tc>
                <w:tcPr>
                  <w:tcW w:w="339" w:type="pct"/>
                </w:tcPr>
                <w:p w14:paraId="63FD345E">
                  <w:pPr>
                    <w:keepNext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1</w:t>
                  </w:r>
                </w:p>
              </w:tc>
            </w:tr>
            <w:tr w14:paraId="3720E70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5" w:type="pct"/>
                  <w:vAlign w:val="top"/>
                </w:tcPr>
                <w:p w14:paraId="6D873898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/>
                      <w:vertAlign w:val="baseline"/>
                      <w:lang w:eastAsia="zh-CN"/>
                    </w:rPr>
                  </w:pPr>
                  <w:r>
                    <w:rPr>
                      <w:rFonts w:hint="eastAsia"/>
                    </w:rPr>
                    <w:t>数字处理</w:t>
                  </w:r>
                  <w:r>
                    <w:rPr>
                      <w:rFonts w:hint="eastAsia"/>
                      <w:lang w:val="en-US" w:eastAsia="zh-CN"/>
                    </w:rPr>
                    <w:t>板</w:t>
                  </w:r>
                </w:p>
              </w:tc>
              <w:tc>
                <w:tcPr>
                  <w:tcW w:w="4204" w:type="pct"/>
                </w:tcPr>
                <w:p w14:paraId="0DAA73F6">
                  <w:pPr>
                    <w:pStyle w:val="11"/>
                    <w:keepNext/>
                    <w:keepLines w:val="0"/>
                    <w:pageBreakBefore w:val="0"/>
                    <w:widowControl w:val="0"/>
                    <w:numPr>
                      <w:ilvl w:val="0"/>
                      <w:numId w:val="2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ind w:firstLineChars="0"/>
                    <w:textAlignment w:val="auto"/>
                  </w:pPr>
                  <w:r>
                    <w:rPr>
                      <w:rFonts w:hint="eastAsia"/>
                    </w:rPr>
                    <w:t>采用</w:t>
                  </w:r>
                  <w:r>
                    <w:t>SoC FPGA，集成双核ARM Cortex-A9处理器，处理器主频不低于800MHz；FPGA逻辑单元数量不低于44万，查找表资源不低于27万，触发器资源不低于55万，DSP乘加单元不少于2000个，Block RAM容量不低于26Mb；应集成不少于16路高速串行收发器，并支持PCI Express Gen2 x8高速数据传输。</w:t>
                  </w:r>
                </w:p>
                <w:p w14:paraId="6B621F6D">
                  <w:pPr>
                    <w:pStyle w:val="11"/>
                    <w:keepNext/>
                    <w:keepLines w:val="0"/>
                    <w:pageBreakBefore w:val="0"/>
                    <w:widowControl w:val="0"/>
                    <w:numPr>
                      <w:ilvl w:val="0"/>
                      <w:numId w:val="2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ind w:firstLineChars="0"/>
                    <w:textAlignment w:val="auto"/>
                  </w:pPr>
                  <w:r>
                    <w:t>板卡应提供标准PCIe Gen2 x8接口、1路千兆以太网接口、1路USB 2.0 OTG接口、1路USB转串口接口、JTAG调试接口及不少于1个标准FMC HPC扩展接口。FMC接口应引出不少于84对差分I/O和8路高速收发器通道。板卡还应具备外部触发或时钟输入接口、PS和PL独立参考时钟、可编程高速收发器参考时钟。</w:t>
                  </w:r>
                </w:p>
                <w:p w14:paraId="6215D8F6">
                  <w:pPr>
                    <w:keepNext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/>
                      <w:vertAlign w:val="baseline"/>
                      <w:lang w:eastAsia="zh-CN"/>
                    </w:rPr>
                  </w:pPr>
                  <w:r>
                    <w:t>采用直流12V供电，配套电源额定输出能力不低于12V/3A，并具备输入过流、短路或等效保护功能。板卡应配置与主芯片功耗相匹配的散热器和主动散热风扇，能够满足高负载、长时间连续运行要求，不得因温度过高出现降频、复位或通信异常。</w:t>
                  </w:r>
                </w:p>
              </w:tc>
              <w:tc>
                <w:tcPr>
                  <w:tcW w:w="339" w:type="pct"/>
                </w:tcPr>
                <w:p w14:paraId="3F0B413F">
                  <w:pPr>
                    <w:keepNext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1</w:t>
                  </w:r>
                </w:p>
              </w:tc>
            </w:tr>
            <w:tr w14:paraId="0DE0120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5" w:type="pct"/>
                  <w:vAlign w:val="top"/>
                </w:tcPr>
                <w:p w14:paraId="3BB93CA0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/>
                      <w:vertAlign w:val="baseline"/>
                      <w:lang w:eastAsia="zh-CN"/>
                    </w:rPr>
                  </w:pPr>
                  <w:r>
                    <w:rPr>
                      <w:rFonts w:hint="eastAsia"/>
                    </w:rPr>
                    <w:t>模数转换</w:t>
                  </w:r>
                  <w:r>
                    <w:rPr>
                      <w:rFonts w:hint="eastAsia"/>
                      <w:lang w:val="en-US" w:eastAsia="zh-CN"/>
                    </w:rPr>
                    <w:t>子卡</w:t>
                  </w:r>
                </w:p>
              </w:tc>
              <w:tc>
                <w:tcPr>
                  <w:tcW w:w="4204" w:type="pct"/>
                </w:tcPr>
                <w:p w14:paraId="0F47104B">
                  <w:pPr>
                    <w:pStyle w:val="11"/>
                    <w:keepNext/>
                    <w:keepLines w:val="0"/>
                    <w:pageBreakBefore w:val="0"/>
                    <w:widowControl w:val="0"/>
                    <w:numPr>
                      <w:ilvl w:val="0"/>
                      <w:numId w:val="3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ind w:firstLineChars="0"/>
                    <w:textAlignment w:val="auto"/>
                  </w:pPr>
                  <w:r>
                    <w:t>支持不少于8路同步模拟信号采集，每通道分辨率不低于16位，最高采样率不低于125MSPS。模拟输入采用单端交流耦合方式，允许输入信号幅度范围为2.0Vpp～2.8Vpp，模拟输入带宽不低于650MHz。在输入频率为16MHz时，信噪比不低于79.9dBFS； ADC微分非线性误差不大于±0.5LSB，积分非线性误差不大于±2.5LSB。板卡应采用JESD204B高速串行接口传输采样数据，并具备低抖动时钟管理功能，支持本地参考时钟、外部参考时钟及外部VCO输入，支持多板卡采样同步和外部触发输入、输出</w:t>
                  </w:r>
                  <w:r>
                    <w:rPr>
                      <w:rFonts w:hint="eastAsia"/>
                    </w:rPr>
                    <w:t>。</w:t>
                  </w:r>
                </w:p>
                <w:p w14:paraId="6CD405D7">
                  <w:pPr>
                    <w:keepNext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/>
                      <w:vertAlign w:val="baseline"/>
                      <w:lang w:eastAsia="zh-CN"/>
                    </w:rPr>
                  </w:pPr>
                  <w:r>
                    <w:t>符合VITA 57.1 FMC规范，采用标准FMC HPC连接器</w:t>
                  </w:r>
                  <w:r>
                    <w:rPr>
                      <w:rFonts w:hint="eastAsia"/>
                    </w:rPr>
                    <w:t>；</w:t>
                  </w:r>
                  <w:r>
                    <w:t>提供外部参考时钟、同步信号及触发信号连接接口。板卡采用+12V供电，典型功耗不高于4W。板卡应支持自然风冷或金属导冷散热方式，连接器、固定孔及板卡结构应满足长期稳定安装要求，并便于与FPGA载板、机箱散热结构及外部信号线缆连接。</w:t>
                  </w:r>
                </w:p>
              </w:tc>
              <w:tc>
                <w:tcPr>
                  <w:tcW w:w="339" w:type="pct"/>
                </w:tcPr>
                <w:p w14:paraId="6817B63C">
                  <w:pPr>
                    <w:keepNext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1</w:t>
                  </w:r>
                </w:p>
              </w:tc>
            </w:tr>
            <w:tr w14:paraId="793AD3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455" w:type="pct"/>
                  <w:vAlign w:val="top"/>
                </w:tcPr>
                <w:p w14:paraId="55C704AC">
                  <w:pPr>
                    <w:keepNext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textAlignment w:val="auto"/>
                    <w:rPr>
                      <w:rFonts w:hint="eastAsia"/>
                      <w:vertAlign w:val="baseline"/>
                      <w:lang w:eastAsia="zh-CN"/>
                    </w:rPr>
                  </w:pPr>
                  <w:r>
                    <w:rPr>
                      <w:rFonts w:hint="eastAsia"/>
                    </w:rPr>
                    <w:t>数模转换</w:t>
                  </w:r>
                  <w:r>
                    <w:rPr>
                      <w:rFonts w:hint="eastAsia"/>
                      <w:lang w:val="en-US" w:eastAsia="zh-CN"/>
                    </w:rPr>
                    <w:t>子卡</w:t>
                  </w:r>
                </w:p>
              </w:tc>
              <w:tc>
                <w:tcPr>
                  <w:tcW w:w="4204" w:type="pct"/>
                </w:tcPr>
                <w:p w14:paraId="6D28C73A">
                  <w:pPr>
                    <w:pStyle w:val="11"/>
                    <w:keepNext/>
                    <w:keepLines w:val="0"/>
                    <w:pageBreakBefore w:val="0"/>
                    <w:widowControl w:val="0"/>
                    <w:numPr>
                      <w:ilvl w:val="0"/>
                      <w:numId w:val="4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ind w:firstLineChars="0"/>
                    <w:textAlignment w:val="auto"/>
                  </w:pPr>
                  <w:r>
                    <w:t>支持不少于4路同步模拟信号输出，每通道分辨率不低于14位，最高数据更新率不低于500MSPS。模拟输出阻抗应为50Ω，采用交流耦合方式，输出信号通过小型射频连接器引出。每通道满量程输出电流应在约8.5mA～32mA范围内可调，默认输出电流约20mA；输出电压幅度应覆盖-350mV～+350mV或更宽范围。板卡应提供不少于1路外部时钟输入，并配置外部触发或同步信号输入接口，触发电平兼容3.3V LVCMOS或LVTTL标准。数字数据接口应采用LVDS传输，接口电平支持1.8V或2.5V，板载器件应支持通过SPI接口进行工作模式、输出电流及相关参数配置。</w:t>
                  </w:r>
                </w:p>
                <w:p w14:paraId="74811B02">
                  <w:pPr>
                    <w:keepNext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eastAsia"/>
                      <w:vertAlign w:val="baseline"/>
                      <w:lang w:eastAsia="zh-CN"/>
                    </w:rPr>
                  </w:pPr>
                  <w:r>
                    <w:t>采用标准FMC结构</w:t>
                  </w:r>
                  <w:r>
                    <w:rPr>
                      <w:rFonts w:hint="eastAsia"/>
                    </w:rPr>
                    <w:t>，</w:t>
                  </w:r>
                  <w:r>
                    <w:t>模拟输出接口应采用小型50Ω射频连接器，同时提供外部时钟、触发或同步信号连接接口。板卡核心器件应满足工业级要求，工作温度范围覆盖-40℃～+85℃。整板功耗应小于6W，供电方式应符合标准FMC接口供电规范。板卡应配置必要的散热结构，支持自然风冷、金属导冷或载板辅助风冷，保证在最高输出速率和多通道连续工作条件下稳定运行。</w:t>
                  </w:r>
                </w:p>
              </w:tc>
              <w:tc>
                <w:tcPr>
                  <w:tcW w:w="339" w:type="pct"/>
                </w:tcPr>
                <w:p w14:paraId="223F1609">
                  <w:pPr>
                    <w:keepNext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jc w:val="left"/>
                    <w:textAlignment w:val="auto"/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1</w:t>
                  </w:r>
                </w:p>
              </w:tc>
            </w:tr>
          </w:tbl>
          <w:p w14:paraId="506F7098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C4B73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个月内将货物送达至甲方指定地点</w:t>
            </w:r>
            <w:bookmarkStart w:id="0" w:name="_GoBack"/>
            <w:bookmarkEnd w:id="0"/>
          </w:p>
          <w:p w14:paraId="6B17CBF7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支付合同总额的5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0%，货到验收后凭发票报销时付尾款。</w:t>
            </w:r>
          </w:p>
          <w:p w14:paraId="6304958C">
            <w:pPr>
              <w:keepNext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按上述规格和要求的技术指标</w:t>
            </w:r>
          </w:p>
          <w:p w14:paraId="5F446B18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产品质保期为</w:t>
            </w:r>
            <w:r>
              <w:rPr>
                <w:rFonts w:hint="eastAsia" w:ascii="宋体" w:hAnsi="宋体"/>
                <w:b w:val="0"/>
                <w:bCs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szCs w:val="21"/>
                <w:u w:val="single"/>
                <w:lang w:val="en-US" w:eastAsia="zh-CN"/>
              </w:rPr>
              <w:t>12</w:t>
            </w:r>
            <w:r>
              <w:rPr>
                <w:rFonts w:hint="eastAsia" w:ascii="宋体" w:hAnsi="宋体"/>
                <w:b w:val="0"/>
                <w:bCs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个月，时间自验收合格之日起计算，或者按厂家国家通常三包质保和售后，以两个时间中更长的时间质保。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B948CB"/>
    <w:multiLevelType w:val="multilevel"/>
    <w:tmpl w:val="17B948CB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467916"/>
    <w:multiLevelType w:val="multilevel"/>
    <w:tmpl w:val="2A467916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17475C5"/>
    <w:multiLevelType w:val="multilevel"/>
    <w:tmpl w:val="617475C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2680D2E"/>
    <w:multiLevelType w:val="multilevel"/>
    <w:tmpl w:val="62680D2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36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2AB14F4"/>
    <w:rsid w:val="0C7718F8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2026-09-28T09:50:49Z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