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22"/>
        <w:gridCol w:w="5244"/>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75C250BA">
            <w:pPr>
              <w:spacing w:line="240" w:lineRule="atLeast"/>
              <w:jc w:val="center"/>
              <w:rPr>
                <w:sz w:val="22"/>
              </w:rPr>
            </w:pPr>
            <w:r>
              <w:rPr>
                <w:rFonts w:hint="eastAsia"/>
                <w:sz w:val="22"/>
              </w:rPr>
              <w:t>序号</w:t>
            </w:r>
          </w:p>
        </w:tc>
        <w:tc>
          <w:tcPr>
            <w:tcW w:w="1422" w:type="dxa"/>
            <w:vAlign w:val="center"/>
          </w:tcPr>
          <w:p w14:paraId="3A9FF52B">
            <w:pPr>
              <w:spacing w:line="240" w:lineRule="atLeast"/>
              <w:jc w:val="center"/>
              <w:rPr>
                <w:sz w:val="22"/>
              </w:rPr>
            </w:pPr>
            <w:r>
              <w:rPr>
                <w:rFonts w:hint="eastAsia"/>
                <w:sz w:val="22"/>
              </w:rPr>
              <w:t>名称</w:t>
            </w:r>
          </w:p>
        </w:tc>
        <w:tc>
          <w:tcPr>
            <w:tcW w:w="5244" w:type="dxa"/>
            <w:vAlign w:val="center"/>
          </w:tcPr>
          <w:p w14:paraId="258D475E">
            <w:pPr>
              <w:spacing w:line="240" w:lineRule="atLeast"/>
              <w:jc w:val="center"/>
              <w:rPr>
                <w:sz w:val="22"/>
              </w:rPr>
            </w:pPr>
            <w:r>
              <w:rPr>
                <w:rFonts w:hint="eastAsia"/>
                <w:sz w:val="22"/>
              </w:rPr>
              <w:t>技术指标</w:t>
            </w:r>
          </w:p>
        </w:tc>
        <w:tc>
          <w:tcPr>
            <w:tcW w:w="1418"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705" w:type="dxa"/>
            <w:vAlign w:val="center"/>
          </w:tcPr>
          <w:p w14:paraId="185CA09D">
            <w:pPr>
              <w:spacing w:line="240" w:lineRule="atLeast"/>
              <w:jc w:val="center"/>
            </w:pPr>
            <w:r>
              <w:rPr>
                <w:rFonts w:hint="eastAsia"/>
              </w:rPr>
              <w:t>1</w:t>
            </w:r>
          </w:p>
        </w:tc>
        <w:tc>
          <w:tcPr>
            <w:tcW w:w="1422" w:type="dxa"/>
            <w:tcBorders>
              <w:bottom w:val="single" w:color="auto" w:sz="4" w:space="0"/>
            </w:tcBorders>
            <w:shd w:val="clear" w:color="auto" w:fill="auto"/>
            <w:vAlign w:val="center"/>
          </w:tcPr>
          <w:p w14:paraId="110FD52C">
            <w:pPr>
              <w:widowControl/>
              <w:spacing w:line="240" w:lineRule="atLeast"/>
              <w:jc w:val="center"/>
              <w:rPr>
                <w:rFonts w:ascii="Times New Roman" w:hAnsi="Times New Roman" w:eastAsia="宋体" w:cs="Times New Roman"/>
                <w:szCs w:val="24"/>
              </w:rPr>
            </w:pPr>
            <w:r>
              <w:rPr>
                <w:rFonts w:hint="eastAsia" w:ascii="Arial" w:hAnsi="Arial" w:eastAsia="宋体" w:cs="Arial"/>
                <w:b w:val="0"/>
                <w:bCs w:val="0"/>
                <w:szCs w:val="21"/>
                <w:shd w:val="clear" w:color="auto" w:fill="FFFFFF"/>
              </w:rPr>
              <w:t>人身安全联锁</w:t>
            </w:r>
          </w:p>
        </w:tc>
        <w:tc>
          <w:tcPr>
            <w:tcW w:w="5244" w:type="dxa"/>
            <w:tcBorders>
              <w:bottom w:val="single" w:color="auto" w:sz="4" w:space="0"/>
            </w:tcBorders>
            <w:shd w:val="clear" w:color="auto" w:fill="auto"/>
            <w:vAlign w:val="center"/>
          </w:tcPr>
          <w:tbl>
            <w:tblPr>
              <w:tblStyle w:val="6"/>
              <w:tblW w:w="5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4"/>
              <w:gridCol w:w="822"/>
              <w:gridCol w:w="502"/>
              <w:gridCol w:w="339"/>
              <w:gridCol w:w="3180"/>
            </w:tblGrid>
            <w:tr w14:paraId="7F29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74" w:type="dxa"/>
                </w:tcPr>
                <w:p w14:paraId="3DD1A1EA">
                  <w:pPr>
                    <w:tabs>
                      <w:tab w:val="left" w:pos="6915"/>
                    </w:tabs>
                    <w:jc w:val="left"/>
                    <w:rPr>
                      <w:rFonts w:hint="eastAsia" w:ascii="Times New Roman" w:hAnsi="Times New Roman" w:eastAsia="仿宋"/>
                      <w:b/>
                      <w:szCs w:val="21"/>
                    </w:rPr>
                  </w:pPr>
                  <w:r>
                    <w:rPr>
                      <w:rFonts w:hint="eastAsia" w:ascii="Times New Roman" w:hAnsi="Times New Roman" w:eastAsia="仿宋"/>
                      <w:b/>
                      <w:szCs w:val="21"/>
                    </w:rPr>
                    <w:t>序号</w:t>
                  </w:r>
                </w:p>
              </w:tc>
              <w:tc>
                <w:tcPr>
                  <w:tcW w:w="822" w:type="dxa"/>
                </w:tcPr>
                <w:p w14:paraId="0C9F7607">
                  <w:pPr>
                    <w:tabs>
                      <w:tab w:val="left" w:pos="6915"/>
                    </w:tabs>
                    <w:jc w:val="center"/>
                    <w:rPr>
                      <w:rFonts w:hint="eastAsia" w:ascii="Times New Roman" w:hAnsi="Times New Roman" w:eastAsia="仿宋"/>
                      <w:b/>
                      <w:szCs w:val="21"/>
                    </w:rPr>
                  </w:pPr>
                  <w:r>
                    <w:rPr>
                      <w:rFonts w:hint="eastAsia" w:ascii="Times New Roman" w:hAnsi="Times New Roman" w:eastAsia="仿宋"/>
                      <w:b/>
                      <w:szCs w:val="21"/>
                    </w:rPr>
                    <w:t>名称</w:t>
                  </w:r>
                </w:p>
              </w:tc>
              <w:tc>
                <w:tcPr>
                  <w:tcW w:w="502" w:type="dxa"/>
                </w:tcPr>
                <w:p w14:paraId="4A1B8E0B">
                  <w:pPr>
                    <w:tabs>
                      <w:tab w:val="left" w:pos="6915"/>
                    </w:tabs>
                    <w:jc w:val="center"/>
                    <w:rPr>
                      <w:rFonts w:hint="eastAsia" w:ascii="Times New Roman" w:hAnsi="Times New Roman" w:eastAsia="仿宋"/>
                      <w:b/>
                      <w:szCs w:val="21"/>
                    </w:rPr>
                  </w:pPr>
                  <w:r>
                    <w:rPr>
                      <w:rFonts w:hint="eastAsia" w:ascii="Times New Roman" w:hAnsi="Times New Roman" w:eastAsia="仿宋"/>
                      <w:b/>
                      <w:szCs w:val="21"/>
                    </w:rPr>
                    <w:t>数量</w:t>
                  </w:r>
                </w:p>
              </w:tc>
              <w:tc>
                <w:tcPr>
                  <w:tcW w:w="339" w:type="dxa"/>
                </w:tcPr>
                <w:p w14:paraId="5C43BC62">
                  <w:pPr>
                    <w:tabs>
                      <w:tab w:val="left" w:pos="6915"/>
                    </w:tabs>
                    <w:jc w:val="center"/>
                    <w:rPr>
                      <w:rFonts w:hint="eastAsia" w:ascii="Times New Roman" w:hAnsi="Times New Roman" w:eastAsia="仿宋"/>
                      <w:b/>
                      <w:szCs w:val="21"/>
                    </w:rPr>
                  </w:pPr>
                  <w:r>
                    <w:rPr>
                      <w:rFonts w:hint="eastAsia" w:ascii="Times New Roman" w:hAnsi="Times New Roman" w:eastAsia="仿宋"/>
                      <w:b/>
                      <w:szCs w:val="21"/>
                    </w:rPr>
                    <w:t>单位</w:t>
                  </w:r>
                </w:p>
              </w:tc>
              <w:tc>
                <w:tcPr>
                  <w:tcW w:w="3180" w:type="dxa"/>
                </w:tcPr>
                <w:p w14:paraId="53012312">
                  <w:pPr>
                    <w:tabs>
                      <w:tab w:val="left" w:pos="6915"/>
                    </w:tabs>
                    <w:jc w:val="center"/>
                    <w:rPr>
                      <w:rFonts w:hint="eastAsia" w:ascii="Times New Roman" w:hAnsi="Times New Roman" w:eastAsia="仿宋"/>
                      <w:b/>
                      <w:szCs w:val="21"/>
                    </w:rPr>
                  </w:pPr>
                  <w:r>
                    <w:rPr>
                      <w:rFonts w:hint="eastAsia" w:ascii="Times New Roman" w:hAnsi="Times New Roman" w:eastAsia="仿宋"/>
                      <w:b/>
                      <w:szCs w:val="21"/>
                    </w:rPr>
                    <w:t>备注</w:t>
                  </w:r>
                </w:p>
              </w:tc>
            </w:tr>
            <w:tr w14:paraId="1E5B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jc w:val="center"/>
              </w:trPr>
              <w:tc>
                <w:tcPr>
                  <w:tcW w:w="374" w:type="dxa"/>
                </w:tcPr>
                <w:p w14:paraId="66F9E051">
                  <w:pPr>
                    <w:tabs>
                      <w:tab w:val="left" w:pos="6915"/>
                    </w:tabs>
                    <w:jc w:val="left"/>
                    <w:rPr>
                      <w:rFonts w:hint="eastAsia" w:ascii="Times New Roman" w:hAnsi="Times New Roman" w:eastAsia="仿宋"/>
                      <w:bCs/>
                      <w:szCs w:val="21"/>
                    </w:rPr>
                  </w:pPr>
                  <w:r>
                    <w:rPr>
                      <w:rFonts w:hint="eastAsia" w:ascii="Times New Roman" w:hAnsi="Times New Roman" w:eastAsia="仿宋"/>
                      <w:bCs/>
                      <w:szCs w:val="21"/>
                    </w:rPr>
                    <w:t>1</w:t>
                  </w:r>
                </w:p>
              </w:tc>
              <w:tc>
                <w:tcPr>
                  <w:tcW w:w="822" w:type="dxa"/>
                </w:tcPr>
                <w:p w14:paraId="7F4F2EE4">
                  <w:pPr>
                    <w:tabs>
                      <w:tab w:val="left" w:pos="6915"/>
                    </w:tabs>
                    <w:jc w:val="left"/>
                    <w:rPr>
                      <w:rFonts w:hint="eastAsia" w:ascii="Times New Roman" w:hAnsi="Times New Roman" w:eastAsia="仿宋"/>
                      <w:bCs/>
                      <w:szCs w:val="21"/>
                    </w:rPr>
                  </w:pPr>
                  <w:r>
                    <w:rPr>
                      <w:rFonts w:hint="eastAsia" w:ascii="Times New Roman" w:hAnsi="Times New Roman" w:eastAsia="仿宋"/>
                      <w:bCs/>
                      <w:szCs w:val="21"/>
                    </w:rPr>
                    <w:t>人身安全联锁</w:t>
                  </w:r>
                </w:p>
              </w:tc>
              <w:tc>
                <w:tcPr>
                  <w:tcW w:w="502" w:type="dxa"/>
                </w:tcPr>
                <w:p w14:paraId="0A33DA7E">
                  <w:pPr>
                    <w:tabs>
                      <w:tab w:val="left" w:pos="6915"/>
                    </w:tabs>
                    <w:jc w:val="center"/>
                    <w:rPr>
                      <w:rFonts w:hint="eastAsia" w:ascii="Times New Roman" w:hAnsi="Times New Roman" w:eastAsia="仿宋"/>
                      <w:bCs/>
                      <w:szCs w:val="21"/>
                    </w:rPr>
                  </w:pPr>
                  <w:r>
                    <w:rPr>
                      <w:rFonts w:hint="eastAsia" w:ascii="Times New Roman" w:hAnsi="Times New Roman" w:eastAsia="仿宋"/>
                      <w:bCs/>
                      <w:szCs w:val="21"/>
                    </w:rPr>
                    <w:t>1</w:t>
                  </w:r>
                </w:p>
              </w:tc>
              <w:tc>
                <w:tcPr>
                  <w:tcW w:w="339" w:type="dxa"/>
                </w:tcPr>
                <w:p w14:paraId="04F18295">
                  <w:pPr>
                    <w:tabs>
                      <w:tab w:val="left" w:pos="6915"/>
                    </w:tabs>
                    <w:jc w:val="center"/>
                    <w:rPr>
                      <w:rFonts w:hint="eastAsia" w:ascii="Times New Roman" w:hAnsi="Times New Roman" w:eastAsia="仿宋" w:cs="宋体"/>
                      <w:bCs/>
                      <w:kern w:val="0"/>
                      <w:sz w:val="20"/>
                      <w:szCs w:val="20"/>
                    </w:rPr>
                  </w:pPr>
                  <w:r>
                    <w:rPr>
                      <w:rFonts w:hint="eastAsia" w:ascii="Times New Roman" w:hAnsi="Times New Roman" w:eastAsia="仿宋"/>
                      <w:bCs/>
                      <w:szCs w:val="21"/>
                    </w:rPr>
                    <w:t>套</w:t>
                  </w:r>
                </w:p>
              </w:tc>
              <w:tc>
                <w:tcPr>
                  <w:tcW w:w="3180" w:type="dxa"/>
                </w:tcPr>
                <w:p w14:paraId="4D08427F">
                  <w:pPr>
                    <w:tabs>
                      <w:tab w:val="left" w:pos="6915"/>
                    </w:tabs>
                    <w:jc w:val="left"/>
                    <w:rPr>
                      <w:rFonts w:hint="eastAsia" w:ascii="Times New Roman" w:hAnsi="Times New Roman" w:eastAsia="仿宋" w:cs="宋体"/>
                      <w:bCs/>
                      <w:kern w:val="0"/>
                      <w:sz w:val="20"/>
                      <w:szCs w:val="20"/>
                    </w:rPr>
                  </w:pPr>
                  <w:r>
                    <w:rPr>
                      <w:rFonts w:hint="eastAsia" w:ascii="Times New Roman" w:hAnsi="Times New Roman" w:eastAsia="仿宋" w:cs="宋体"/>
                      <w:bCs/>
                      <w:kern w:val="0"/>
                      <w:sz w:val="20"/>
                      <w:szCs w:val="20"/>
                    </w:rPr>
                    <w:t>系统需要很好兼容现有线站设备及人身安全联锁系统，外观保持一致；提供</w:t>
                  </w:r>
                  <w:r>
                    <w:rPr>
                      <w:rFonts w:hint="eastAsia" w:ascii="Times New Roman" w:hAnsi="Times New Roman" w:eastAsia="仿宋" w:cs="宋体"/>
                      <w:kern w:val="0"/>
                      <w:sz w:val="20"/>
                      <w:szCs w:val="20"/>
                    </w:rPr>
                    <w:t>现场布线、安装与调试</w:t>
                  </w:r>
                  <w:r>
                    <w:rPr>
                      <w:rFonts w:hint="eastAsia" w:ascii="Times New Roman" w:hAnsi="Times New Roman" w:eastAsia="仿宋" w:cs="宋体"/>
                      <w:bCs/>
                      <w:kern w:val="0"/>
                      <w:sz w:val="20"/>
                      <w:szCs w:val="20"/>
                    </w:rPr>
                    <w:t>；支持在Windows、Linux环境下部署和应用；支持E</w:t>
                  </w:r>
                  <w:r>
                    <w:rPr>
                      <w:rFonts w:ascii="Times New Roman" w:hAnsi="Times New Roman" w:eastAsia="仿宋" w:cs="宋体"/>
                      <w:bCs/>
                      <w:kern w:val="0"/>
                      <w:sz w:val="20"/>
                      <w:szCs w:val="20"/>
                    </w:rPr>
                    <w:t>PICS</w:t>
                  </w:r>
                  <w:r>
                    <w:rPr>
                      <w:rFonts w:hint="eastAsia" w:ascii="Times New Roman" w:hAnsi="Times New Roman" w:eastAsia="仿宋" w:cs="宋体"/>
                      <w:bCs/>
                      <w:kern w:val="0"/>
                      <w:sz w:val="20"/>
                      <w:szCs w:val="20"/>
                    </w:rPr>
                    <w:t>控制系统，进行系统 I</w:t>
                  </w:r>
                  <w:r>
                    <w:rPr>
                      <w:rFonts w:ascii="Times New Roman" w:hAnsi="Times New Roman" w:eastAsia="仿宋" w:cs="宋体"/>
                      <w:bCs/>
                      <w:kern w:val="0"/>
                      <w:sz w:val="20"/>
                      <w:szCs w:val="20"/>
                    </w:rPr>
                    <w:t>OC</w:t>
                  </w:r>
                  <w:r>
                    <w:rPr>
                      <w:rFonts w:hint="eastAsia" w:ascii="Times New Roman" w:hAnsi="Times New Roman" w:eastAsia="仿宋" w:cs="宋体"/>
                      <w:bCs/>
                      <w:kern w:val="0"/>
                      <w:sz w:val="20"/>
                      <w:szCs w:val="20"/>
                    </w:rPr>
                    <w:t>与O</w:t>
                  </w:r>
                  <w:r>
                    <w:rPr>
                      <w:rFonts w:ascii="Times New Roman" w:hAnsi="Times New Roman" w:eastAsia="仿宋" w:cs="宋体"/>
                      <w:bCs/>
                      <w:kern w:val="0"/>
                      <w:sz w:val="20"/>
                      <w:szCs w:val="20"/>
                    </w:rPr>
                    <w:t>PI</w:t>
                  </w:r>
                  <w:r>
                    <w:rPr>
                      <w:rFonts w:hint="eastAsia" w:ascii="Times New Roman" w:hAnsi="Times New Roman" w:eastAsia="仿宋" w:cs="宋体"/>
                      <w:bCs/>
                      <w:kern w:val="0"/>
                      <w:sz w:val="20"/>
                      <w:szCs w:val="20"/>
                    </w:rPr>
                    <w:t>等的定制化开发。</w:t>
                  </w:r>
                </w:p>
              </w:tc>
            </w:tr>
          </w:tbl>
          <w:p w14:paraId="7A3CBCA5">
            <w:pPr>
              <w:tabs>
                <w:tab w:val="left" w:pos="6915"/>
              </w:tabs>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系统基于人员和操作便捷的设计原则，采用定制化控制机柜尺寸不大于：高</w:t>
            </w:r>
            <w:r>
              <w:rPr>
                <w:rFonts w:ascii="Times New Roman" w:hAnsi="Times New Roman" w:eastAsia="仿宋" w:cs="宋体"/>
                <w:kern w:val="0"/>
                <w:sz w:val="20"/>
                <w:szCs w:val="20"/>
              </w:rPr>
              <w:t>10</w:t>
            </w:r>
            <w:r>
              <w:rPr>
                <w:rFonts w:hint="eastAsia" w:ascii="Times New Roman" w:hAnsi="Times New Roman" w:eastAsia="仿宋" w:cs="宋体"/>
                <w:kern w:val="0"/>
                <w:sz w:val="20"/>
                <w:szCs w:val="20"/>
              </w:rPr>
              <w:t>00mm*宽500mm*深250mm，将整个系统集成，控制机柜前面板配有触摸屏，控制机柜需配置底座支撑。</w:t>
            </w:r>
          </w:p>
          <w:p w14:paraId="6C29B989">
            <w:pPr>
              <w:tabs>
                <w:tab w:val="left" w:pos="6915"/>
              </w:tabs>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控制系统采用冗余CPU+分布式IO站+模块化数字量输入模块、数字量输出模块、模拟量输入模块组成核心控制系统，利用断路器、安全继电器、隔离端子等组成控制回路。</w:t>
            </w:r>
          </w:p>
          <w:p w14:paraId="0F3396A6">
            <w:pPr>
              <w:tabs>
                <w:tab w:val="left" w:pos="6915"/>
              </w:tabs>
              <w:jc w:val="left"/>
              <w:rPr>
                <w:rFonts w:hint="eastAsia" w:ascii="Times New Roman" w:hAnsi="Times New Roman" w:eastAsia="仿宋" w:cs="宋体"/>
                <w:b/>
                <w:kern w:val="0"/>
                <w:sz w:val="20"/>
                <w:szCs w:val="20"/>
              </w:rPr>
            </w:pPr>
            <w:r>
              <w:rPr>
                <w:rFonts w:hint="eastAsia" w:ascii="Times New Roman" w:hAnsi="Times New Roman" w:eastAsia="仿宋" w:cs="宋体"/>
                <w:b/>
                <w:kern w:val="0"/>
                <w:sz w:val="20"/>
                <w:szCs w:val="20"/>
              </w:rPr>
              <w:t>具体规格和参数如下：</w:t>
            </w:r>
          </w:p>
          <w:p w14:paraId="72C10457">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ascii="Times New Roman" w:hAnsi="Times New Roman" w:eastAsia="仿宋" w:cs="宋体"/>
                <w:kern w:val="0"/>
                <w:sz w:val="20"/>
                <w:szCs w:val="20"/>
              </w:rPr>
              <w:t>CPU</w:t>
            </w:r>
            <w:r>
              <w:rPr>
                <w:rFonts w:hint="eastAsia" w:ascii="Times New Roman" w:hAnsi="Times New Roman" w:eastAsia="仿宋" w:cs="宋体"/>
                <w:kern w:val="0"/>
                <w:sz w:val="20"/>
                <w:szCs w:val="20"/>
              </w:rPr>
              <w:t>:中央处理器，带工作存储器，其中用于程序的存储≥1MB、用于数据的存储≥4.5MB；可根据需求调整程序最短最长循环时间；支持外扩存储卡，用于存储程序；支持多种编程语言，如LD，SFC，IL，ST，FBD等;支持冗余协议，支持故障状态下处理器的自动切换。第 1 个接口：PROFINET RT 带双接口交换机， 第 2 接口：PROFINET。主备切换时间≤300ms。储存卡: 拓展内存容量不小于</w:t>
            </w:r>
            <w:r>
              <w:rPr>
                <w:rFonts w:ascii="Times New Roman" w:hAnsi="Times New Roman" w:eastAsia="仿宋" w:cs="宋体"/>
                <w:kern w:val="0"/>
                <w:sz w:val="20"/>
                <w:szCs w:val="20"/>
              </w:rPr>
              <w:t>24MB</w:t>
            </w:r>
            <w:r>
              <w:rPr>
                <w:rFonts w:hint="eastAsia" w:ascii="Times New Roman" w:hAnsi="Times New Roman" w:eastAsia="仿宋" w:cs="宋体"/>
                <w:kern w:val="0"/>
                <w:sz w:val="20"/>
                <w:szCs w:val="20"/>
              </w:rPr>
              <w:t>。</w:t>
            </w:r>
          </w:p>
          <w:p w14:paraId="726EE1A1">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UPS电源：集成机柜内模块化，满足意外断电后能继续工作10分钟以上，防止意外掉电造成不必要的伤害和损失。</w:t>
            </w:r>
          </w:p>
          <w:p w14:paraId="642C6199">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I</w:t>
            </w:r>
            <w:r>
              <w:rPr>
                <w:rFonts w:ascii="Times New Roman" w:hAnsi="Times New Roman" w:eastAsia="仿宋" w:cs="宋体"/>
                <w:kern w:val="0"/>
                <w:sz w:val="20"/>
                <w:szCs w:val="20"/>
              </w:rPr>
              <w:t>O</w:t>
            </w:r>
            <w:r>
              <w:rPr>
                <w:rFonts w:hint="eastAsia" w:ascii="Times New Roman" w:hAnsi="Times New Roman" w:eastAsia="仿宋" w:cs="宋体"/>
                <w:kern w:val="0"/>
                <w:sz w:val="20"/>
                <w:szCs w:val="20"/>
              </w:rPr>
              <w:t>站点：24V供电，RJ45端口≥2个，支持100 Mbit/s全双工通信，支持S2介质冗余协议。</w:t>
            </w:r>
          </w:p>
          <w:p w14:paraId="1BC2F5AF">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I/O信号点位：</w:t>
            </w:r>
          </w:p>
          <w:tbl>
            <w:tblPr>
              <w:tblStyle w:val="6"/>
              <w:tblW w:w="4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134"/>
              <w:gridCol w:w="1134"/>
              <w:gridCol w:w="1134"/>
            </w:tblGrid>
            <w:tr w14:paraId="3FF5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008" w:type="dxa"/>
                </w:tcPr>
                <w:p w14:paraId="21D0989A">
                  <w:pPr>
                    <w:jc w:val="left"/>
                    <w:rPr>
                      <w:rFonts w:hint="eastAsia" w:ascii="Times New Roman" w:hAnsi="Times New Roman" w:eastAsia="仿宋" w:cs="宋体"/>
                      <w:kern w:val="0"/>
                      <w:sz w:val="18"/>
                      <w:szCs w:val="18"/>
                    </w:rPr>
                  </w:pPr>
                  <w:r>
                    <w:rPr>
                      <w:rFonts w:hint="eastAsia" w:ascii="Times New Roman" w:hAnsi="Times New Roman" w:eastAsia="仿宋" w:cs="宋体"/>
                      <w:kern w:val="0"/>
                      <w:sz w:val="18"/>
                      <w:szCs w:val="18"/>
                    </w:rPr>
                    <w:t>信号类型</w:t>
                  </w:r>
                </w:p>
              </w:tc>
              <w:tc>
                <w:tcPr>
                  <w:tcW w:w="1134" w:type="dxa"/>
                </w:tcPr>
                <w:p w14:paraId="5A7B167F">
                  <w:pPr>
                    <w:jc w:val="left"/>
                    <w:rPr>
                      <w:rFonts w:hint="eastAsia" w:ascii="Times New Roman" w:hAnsi="Times New Roman" w:eastAsia="仿宋" w:cs="宋体"/>
                      <w:kern w:val="0"/>
                      <w:sz w:val="18"/>
                      <w:szCs w:val="18"/>
                    </w:rPr>
                  </w:pPr>
                  <w:r>
                    <w:rPr>
                      <w:rFonts w:hint="eastAsia" w:ascii="Times New Roman" w:hAnsi="Times New Roman" w:eastAsia="仿宋" w:cs="宋体"/>
                      <w:kern w:val="0"/>
                      <w:sz w:val="18"/>
                      <w:szCs w:val="18"/>
                    </w:rPr>
                    <w:t>数字量输入</w:t>
                  </w:r>
                </w:p>
              </w:tc>
              <w:tc>
                <w:tcPr>
                  <w:tcW w:w="1134" w:type="dxa"/>
                </w:tcPr>
                <w:p w14:paraId="3F1AFC13">
                  <w:pPr>
                    <w:jc w:val="left"/>
                    <w:rPr>
                      <w:rFonts w:hint="eastAsia" w:ascii="Times New Roman" w:hAnsi="Times New Roman" w:eastAsia="仿宋" w:cs="宋体"/>
                      <w:kern w:val="0"/>
                      <w:sz w:val="18"/>
                      <w:szCs w:val="18"/>
                    </w:rPr>
                  </w:pPr>
                  <w:r>
                    <w:rPr>
                      <w:rFonts w:hint="eastAsia" w:ascii="Times New Roman" w:hAnsi="Times New Roman" w:eastAsia="仿宋" w:cs="宋体"/>
                      <w:kern w:val="0"/>
                      <w:sz w:val="18"/>
                      <w:szCs w:val="18"/>
                    </w:rPr>
                    <w:t>数字量输出</w:t>
                  </w:r>
                </w:p>
              </w:tc>
              <w:tc>
                <w:tcPr>
                  <w:tcW w:w="1134" w:type="dxa"/>
                </w:tcPr>
                <w:p w14:paraId="09453B00">
                  <w:pPr>
                    <w:jc w:val="left"/>
                    <w:rPr>
                      <w:rFonts w:hint="eastAsia" w:ascii="Times New Roman" w:hAnsi="Times New Roman" w:eastAsia="仿宋" w:cs="宋体"/>
                      <w:kern w:val="0"/>
                      <w:sz w:val="18"/>
                      <w:szCs w:val="18"/>
                    </w:rPr>
                  </w:pPr>
                  <w:r>
                    <w:rPr>
                      <w:rFonts w:hint="eastAsia" w:ascii="Times New Roman" w:hAnsi="Times New Roman" w:eastAsia="仿宋" w:cs="宋体"/>
                      <w:kern w:val="0"/>
                      <w:sz w:val="18"/>
                      <w:szCs w:val="18"/>
                    </w:rPr>
                    <w:t>模拟量输入</w:t>
                  </w:r>
                </w:p>
              </w:tc>
            </w:tr>
            <w:tr w14:paraId="4D39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38866785">
                  <w:pPr>
                    <w:jc w:val="left"/>
                    <w:rPr>
                      <w:rFonts w:hint="eastAsia" w:ascii="Times New Roman" w:hAnsi="Times New Roman" w:eastAsia="仿宋" w:cs="宋体"/>
                      <w:kern w:val="0"/>
                      <w:sz w:val="20"/>
                      <w:szCs w:val="20"/>
                    </w:rPr>
                  </w:pPr>
                  <w:r>
                    <w:rPr>
                      <w:rFonts w:hint="eastAsia" w:ascii="Times New Roman" w:hAnsi="Times New Roman" w:eastAsia="仿宋" w:cs="宋体"/>
                      <w:kern w:val="0"/>
                      <w:sz w:val="18"/>
                      <w:szCs w:val="18"/>
                    </w:rPr>
                    <w:t>信号数量</w:t>
                  </w:r>
                </w:p>
              </w:tc>
              <w:tc>
                <w:tcPr>
                  <w:tcW w:w="1134" w:type="dxa"/>
                </w:tcPr>
                <w:p w14:paraId="173E3B2D">
                  <w:pPr>
                    <w:jc w:val="center"/>
                    <w:rPr>
                      <w:rFonts w:hint="eastAsia" w:ascii="Times New Roman" w:hAnsi="Times New Roman" w:eastAsia="仿宋" w:cs="宋体"/>
                      <w:kern w:val="0"/>
                      <w:sz w:val="20"/>
                      <w:szCs w:val="20"/>
                    </w:rPr>
                  </w:pPr>
                  <w:r>
                    <w:rPr>
                      <w:rFonts w:ascii="Times New Roman" w:hAnsi="Times New Roman" w:eastAsia="仿宋" w:cs="宋体"/>
                      <w:kern w:val="0"/>
                      <w:sz w:val="20"/>
                      <w:szCs w:val="20"/>
                    </w:rPr>
                    <w:t>128</w:t>
                  </w:r>
                </w:p>
              </w:tc>
              <w:tc>
                <w:tcPr>
                  <w:tcW w:w="1134" w:type="dxa"/>
                </w:tcPr>
                <w:p w14:paraId="4970E95D">
                  <w:pPr>
                    <w:jc w:val="center"/>
                    <w:rPr>
                      <w:rFonts w:hint="eastAsia" w:ascii="Times New Roman" w:hAnsi="Times New Roman" w:eastAsia="仿宋" w:cs="宋体"/>
                      <w:kern w:val="0"/>
                      <w:sz w:val="20"/>
                      <w:szCs w:val="20"/>
                    </w:rPr>
                  </w:pPr>
                  <w:r>
                    <w:rPr>
                      <w:rFonts w:ascii="Times New Roman" w:hAnsi="Times New Roman" w:eastAsia="仿宋" w:cs="宋体"/>
                      <w:kern w:val="0"/>
                      <w:sz w:val="20"/>
                      <w:szCs w:val="20"/>
                    </w:rPr>
                    <w:t>32</w:t>
                  </w:r>
                </w:p>
              </w:tc>
              <w:tc>
                <w:tcPr>
                  <w:tcW w:w="1134" w:type="dxa"/>
                </w:tcPr>
                <w:p w14:paraId="0BB58196">
                  <w:pPr>
                    <w:jc w:val="center"/>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4</w:t>
                  </w:r>
                </w:p>
              </w:tc>
            </w:tr>
          </w:tbl>
          <w:p w14:paraId="7E58E30B">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数字量输入模块：16通道，24V直流输入；自带诊断功能，包括电源电压监控，断线，累计故障报警等，自带诊断显示LED；16个通道之间相互隔离，每个通道与系统总线互相隔离，实现系统通讯与外围设备控制间的电气隔离，保障安全。</w:t>
            </w:r>
          </w:p>
          <w:p w14:paraId="72D25060">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数字量输出模块：16通道，24V直流输出，单通道最大输出电流0.5A; 自带诊断功能，包括电源电压监控，断线，累计故障报警等，自带诊断显示LED。</w:t>
            </w:r>
          </w:p>
          <w:p w14:paraId="09911D1A">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模拟量输入模块：4通道，自带诊断功能，包括电源电压监控，断线，累计故障报警等，自带诊断显示LED。</w:t>
            </w:r>
          </w:p>
          <w:p w14:paraId="4A0EFC37">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中间继电器：24V线圈，在电路中起着自动调节、安全保护、转换电路等作用。</w:t>
            </w:r>
          </w:p>
          <w:p w14:paraId="3BEE98E1">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安全继电器：2</w:t>
            </w:r>
            <w:r>
              <w:rPr>
                <w:rFonts w:ascii="Times New Roman" w:hAnsi="Times New Roman" w:eastAsia="仿宋" w:cs="宋体"/>
                <w:kern w:val="0"/>
                <w:sz w:val="20"/>
                <w:szCs w:val="20"/>
              </w:rPr>
              <w:t>4V,</w:t>
            </w:r>
            <w:r>
              <w:rPr>
                <w:rFonts w:hint="eastAsia" w:ascii="Times New Roman" w:hAnsi="Times New Roman" w:eastAsia="仿宋" w:cs="宋体"/>
                <w:kern w:val="0"/>
                <w:sz w:val="20"/>
                <w:szCs w:val="20"/>
              </w:rPr>
              <w:t>输入带触点间短路检测功能的1/2通道接线，3路常开点输出,1路常闭点输出。</w:t>
            </w:r>
          </w:p>
          <w:p w14:paraId="5E8E0630">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输入输出：所有的输入输出要引出至接线端子上，所有数字输出要加中间隔离器件，其中至少有</w:t>
            </w:r>
            <w:r>
              <w:rPr>
                <w:rFonts w:ascii="Times New Roman" w:hAnsi="Times New Roman" w:eastAsia="仿宋" w:cs="宋体"/>
                <w:kern w:val="0"/>
                <w:sz w:val="20"/>
                <w:szCs w:val="20"/>
              </w:rPr>
              <w:t>2</w:t>
            </w:r>
            <w:r>
              <w:rPr>
                <w:rFonts w:hint="eastAsia" w:ascii="Times New Roman" w:hAnsi="Times New Roman" w:eastAsia="仿宋" w:cs="宋体"/>
                <w:kern w:val="0"/>
                <w:sz w:val="20"/>
                <w:szCs w:val="20"/>
              </w:rPr>
              <w:t>路输出加安全继电器。</w:t>
            </w:r>
          </w:p>
          <w:p w14:paraId="033DBDA9">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工业交换机：带管理功能，不少于8口。</w:t>
            </w:r>
          </w:p>
          <w:p w14:paraId="3EA1364F">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人机交互系统：不小于15</w:t>
            </w:r>
            <w:r>
              <w:rPr>
                <w:rFonts w:ascii="Times New Roman" w:hAnsi="Times New Roman" w:eastAsia="仿宋" w:cs="宋体"/>
                <w:kern w:val="0"/>
                <w:sz w:val="20"/>
                <w:szCs w:val="20"/>
              </w:rPr>
              <w:t>.6</w:t>
            </w:r>
            <w:r>
              <w:rPr>
                <w:rFonts w:hint="eastAsia" w:ascii="Times New Roman" w:hAnsi="Times New Roman" w:eastAsia="仿宋" w:cs="宋体"/>
                <w:kern w:val="0"/>
                <w:sz w:val="20"/>
                <w:szCs w:val="20"/>
              </w:rPr>
              <w:t>’， 1920 x 1080 宽视角 LCD触摸屏，双网口通讯，方便</w:t>
            </w:r>
            <w:r>
              <w:rPr>
                <w:rFonts w:ascii="Times New Roman" w:hAnsi="Times New Roman" w:eastAsia="仿宋" w:cs="宋体"/>
                <w:kern w:val="0"/>
                <w:sz w:val="20"/>
                <w:szCs w:val="20"/>
              </w:rPr>
              <w:t>人与计算机或其他机器设备之间建立双向信息交换</w:t>
            </w:r>
            <w:r>
              <w:rPr>
                <w:rFonts w:hint="eastAsia" w:ascii="Times New Roman" w:hAnsi="Times New Roman" w:eastAsia="仿宋" w:cs="宋体"/>
                <w:kern w:val="0"/>
                <w:sz w:val="20"/>
                <w:szCs w:val="20"/>
              </w:rPr>
              <w:t>、监控、采集、控制等。</w:t>
            </w:r>
          </w:p>
          <w:p w14:paraId="3FF811A0">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搜索按钮盒：定制，颜色与控制柜一致。需要包含一个搜索按钮，一个取消按钮以及一个急停按钮。</w:t>
            </w:r>
          </w:p>
          <w:p w14:paraId="1A2EE7C2">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三色报警灯：黄绿红三种颜色指示灯，DC24V输入。</w:t>
            </w:r>
          </w:p>
          <w:p w14:paraId="7FE8B25C">
            <w:pPr>
              <w:pStyle w:val="11"/>
              <w:numPr>
                <w:ilvl w:val="0"/>
                <w:numId w:val="1"/>
              </w:numPr>
              <w:tabs>
                <w:tab w:val="left" w:pos="6915"/>
                <w:tab w:val="clear" w:pos="1428"/>
              </w:tabs>
              <w:ind w:firstLineChars="0"/>
              <w:jc w:val="left"/>
              <w:rPr>
                <w:rFonts w:hint="eastAsia" w:ascii="Times New Roman" w:hAnsi="Times New Roman" w:eastAsia="仿宋" w:cs="宋体"/>
                <w:kern w:val="0"/>
                <w:sz w:val="20"/>
                <w:szCs w:val="20"/>
              </w:rPr>
            </w:pPr>
            <w:r>
              <w:rPr>
                <w:rFonts w:hint="eastAsia" w:ascii="Times New Roman" w:hAnsi="Times New Roman" w:eastAsia="仿宋" w:cs="宋体"/>
                <w:kern w:val="0"/>
                <w:sz w:val="20"/>
                <w:szCs w:val="20"/>
              </w:rPr>
              <w:t>控制柜顶部进线槽孔，柜体颜色为</w:t>
            </w:r>
            <w:bookmarkStart w:id="0" w:name="OLE_LINK31"/>
            <w:r>
              <w:rPr>
                <w:rFonts w:ascii="Times New Roman" w:hAnsi="Times New Roman" w:eastAsia="仿宋" w:cs="宋体"/>
                <w:kern w:val="0"/>
                <w:sz w:val="20"/>
                <w:szCs w:val="20"/>
              </w:rPr>
              <w:t>RAL2904040</w:t>
            </w:r>
            <w:r>
              <w:rPr>
                <w:rFonts w:hint="eastAsia" w:ascii="Times New Roman" w:hAnsi="Times New Roman" w:eastAsia="仿宋" w:cs="宋体"/>
                <w:kern w:val="0"/>
                <w:sz w:val="20"/>
                <w:szCs w:val="20"/>
              </w:rPr>
              <w:t xml:space="preserve"> (鸢尾蓝色)</w:t>
            </w:r>
            <w:bookmarkEnd w:id="0"/>
            <w:r>
              <w:rPr>
                <w:rFonts w:hint="eastAsia" w:ascii="Times New Roman" w:hAnsi="Times New Roman" w:eastAsia="仿宋" w:cs="宋体"/>
                <w:kern w:val="0"/>
                <w:sz w:val="20"/>
                <w:szCs w:val="20"/>
              </w:rPr>
              <w:t>，哑光工艺；提供最终方案设计的电气原理图、空间布局图以及三维设计图。</w:t>
            </w:r>
          </w:p>
          <w:p w14:paraId="27335C36">
            <w:pPr>
              <w:pStyle w:val="11"/>
              <w:numPr>
                <w:ilvl w:val="0"/>
                <w:numId w:val="0"/>
              </w:numPr>
              <w:ind w:left="360" w:leftChars="0" w:hanging="360" w:firstLineChars="0"/>
              <w:rPr>
                <w:rFonts w:ascii="Arial" w:hAnsi="Arial" w:eastAsia="宋体" w:cs="Arial"/>
                <w:szCs w:val="21"/>
                <w:shd w:val="clear" w:color="auto" w:fill="FFFFFF"/>
              </w:rPr>
            </w:pPr>
            <w:r>
              <w:rPr>
                <w:rFonts w:ascii="Times New Roman" w:hAnsi="Times New Roman" w:eastAsia="仿宋" w:cs="宋体"/>
                <w:kern w:val="0"/>
                <w:sz w:val="20"/>
                <w:szCs w:val="20"/>
              </w:rPr>
              <w:t>1</w:t>
            </w:r>
            <w:r>
              <w:rPr>
                <w:rFonts w:hint="eastAsia" w:ascii="Times New Roman" w:hAnsi="Times New Roman" w:eastAsia="仿宋" w:cs="宋体"/>
                <w:kern w:val="0"/>
                <w:sz w:val="20"/>
                <w:szCs w:val="20"/>
              </w:rPr>
              <w:t>个分屏触摸屏镶嵌箱：≤长</w:t>
            </w:r>
            <w:r>
              <w:rPr>
                <w:rFonts w:ascii="Times New Roman" w:hAnsi="Times New Roman" w:eastAsia="仿宋" w:cs="宋体"/>
                <w:kern w:val="0"/>
                <w:sz w:val="20"/>
                <w:szCs w:val="20"/>
              </w:rPr>
              <w:t>50</w:t>
            </w:r>
            <w:r>
              <w:rPr>
                <w:rFonts w:hint="eastAsia" w:ascii="Times New Roman" w:hAnsi="Times New Roman" w:eastAsia="仿宋" w:cs="宋体"/>
                <w:kern w:val="0"/>
                <w:sz w:val="20"/>
                <w:szCs w:val="20"/>
              </w:rPr>
              <w:t>0mm*宽4</w:t>
            </w:r>
            <w:r>
              <w:rPr>
                <w:rFonts w:ascii="Times New Roman" w:hAnsi="Times New Roman" w:eastAsia="仿宋" w:cs="宋体"/>
                <w:kern w:val="0"/>
                <w:sz w:val="20"/>
                <w:szCs w:val="20"/>
              </w:rPr>
              <w:t>0</w:t>
            </w:r>
            <w:r>
              <w:rPr>
                <w:rFonts w:hint="eastAsia" w:ascii="Times New Roman" w:hAnsi="Times New Roman" w:eastAsia="仿宋" w:cs="宋体"/>
                <w:kern w:val="0"/>
                <w:sz w:val="20"/>
                <w:szCs w:val="20"/>
              </w:rPr>
              <w:t>0mm*深1</w:t>
            </w:r>
            <w:r>
              <w:rPr>
                <w:rFonts w:ascii="Times New Roman" w:hAnsi="Times New Roman" w:eastAsia="仿宋" w:cs="宋体"/>
                <w:kern w:val="0"/>
                <w:sz w:val="20"/>
                <w:szCs w:val="20"/>
              </w:rPr>
              <w:t>2</w:t>
            </w:r>
            <w:r>
              <w:rPr>
                <w:rFonts w:hint="eastAsia" w:ascii="Times New Roman" w:hAnsi="Times New Roman" w:eastAsia="仿宋" w:cs="宋体"/>
                <w:kern w:val="0"/>
                <w:sz w:val="20"/>
                <w:szCs w:val="20"/>
              </w:rPr>
              <w:t>0mm，顶部和底部均留有外部进线槽孔，提供最终方案设计的布局图纸及三维设计图。</w:t>
            </w:r>
          </w:p>
        </w:tc>
        <w:tc>
          <w:tcPr>
            <w:tcW w:w="1418" w:type="dxa"/>
            <w:vAlign w:val="center"/>
          </w:tcPr>
          <w:p w14:paraId="205FF5AB">
            <w:pPr>
              <w:spacing w:line="240" w:lineRule="atLeast"/>
              <w:jc w:val="center"/>
            </w:pPr>
          </w:p>
        </w:tc>
        <w:tc>
          <w:tcPr>
            <w:tcW w:w="992"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705" w:type="dxa"/>
            <w:vAlign w:val="center"/>
          </w:tcPr>
          <w:p w14:paraId="21D5CC9B">
            <w:pPr>
              <w:spacing w:line="240" w:lineRule="atLeast"/>
              <w:jc w:val="center"/>
            </w:pPr>
            <w:r>
              <w:t>2</w:t>
            </w:r>
          </w:p>
        </w:tc>
        <w:tc>
          <w:tcPr>
            <w:tcW w:w="1422"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244" w:type="dxa"/>
            <w:tcBorders>
              <w:top w:val="single" w:color="auto" w:sz="4" w:space="0"/>
              <w:left w:val="nil"/>
              <w:bottom w:val="single" w:color="auto" w:sz="4" w:space="0"/>
              <w:right w:val="single" w:color="auto" w:sz="4" w:space="0"/>
            </w:tcBorders>
            <w:shd w:val="clear" w:color="auto" w:fill="auto"/>
            <w:vAlign w:val="center"/>
          </w:tcPr>
          <w:p w14:paraId="62826E3E">
            <w:pPr>
              <w:tabs>
                <w:tab w:val="left" w:pos="6915"/>
              </w:tabs>
              <w:jc w:val="left"/>
              <w:rPr>
                <w:rFonts w:hint="eastAsia" w:ascii="Times New Roman" w:hAnsi="Times New Roman" w:eastAsia="仿宋"/>
                <w:b/>
                <w:szCs w:val="21"/>
                <w:lang w:val="en-US" w:eastAsia="zh-CN"/>
              </w:rPr>
            </w:pPr>
            <w:r>
              <w:rPr>
                <w:rFonts w:ascii="Times New Roman" w:hAnsi="Times New Roman" w:eastAsia="仿宋"/>
                <w:b/>
                <w:szCs w:val="21"/>
              </w:rPr>
              <w:t>交货期</w:t>
            </w:r>
            <w:r>
              <w:rPr>
                <w:rFonts w:hint="eastAsia" w:ascii="Times New Roman" w:hAnsi="Times New Roman" w:eastAsia="仿宋"/>
                <w:b/>
                <w:szCs w:val="21"/>
              </w:rPr>
              <w:t>：</w:t>
            </w:r>
            <w:r>
              <w:rPr>
                <w:rFonts w:hint="eastAsia" w:ascii="Times New Roman" w:hAnsi="Times New Roman" w:eastAsia="仿宋"/>
                <w:bCs/>
                <w:szCs w:val="21"/>
              </w:rPr>
              <w:t>合同签订后</w:t>
            </w:r>
            <w:r>
              <w:rPr>
                <w:rFonts w:hint="eastAsia" w:ascii="Times New Roman" w:hAnsi="Times New Roman" w:eastAsia="仿宋"/>
                <w:bCs/>
                <w:szCs w:val="21"/>
                <w:lang w:val="en-US" w:eastAsia="zh-CN"/>
              </w:rPr>
              <w:t>5</w:t>
            </w:r>
            <w:r>
              <w:rPr>
                <w:rFonts w:hint="eastAsia" w:ascii="Times New Roman" w:hAnsi="Times New Roman" w:eastAsia="仿宋"/>
                <w:bCs/>
                <w:szCs w:val="21"/>
              </w:rPr>
              <w:t>个月</w:t>
            </w:r>
            <w:r>
              <w:rPr>
                <w:rFonts w:hint="eastAsia" w:ascii="Times New Roman" w:hAnsi="Times New Roman" w:eastAsia="仿宋"/>
                <w:bCs/>
                <w:szCs w:val="21"/>
                <w:lang w:val="en-US" w:eastAsia="zh-CN"/>
              </w:rPr>
              <w:t>内交付</w:t>
            </w:r>
          </w:p>
          <w:p w14:paraId="4861F634">
            <w:pPr>
              <w:tabs>
                <w:tab w:val="left" w:pos="6915"/>
              </w:tabs>
              <w:jc w:val="left"/>
              <w:rPr>
                <w:rFonts w:ascii="Times New Roman" w:hAnsi="Times New Roman" w:eastAsia="仿宋"/>
                <w:b/>
                <w:szCs w:val="21"/>
              </w:rPr>
            </w:pPr>
            <w:r>
              <w:rPr>
                <w:rFonts w:ascii="Times New Roman" w:hAnsi="Times New Roman" w:eastAsia="仿宋"/>
                <w:b/>
                <w:szCs w:val="21"/>
              </w:rPr>
              <w:t>交付进度</w:t>
            </w:r>
            <w:r>
              <w:rPr>
                <w:rFonts w:hint="eastAsia" w:ascii="Times New Roman" w:hAnsi="Times New Roman" w:eastAsia="仿宋"/>
                <w:b/>
                <w:szCs w:val="21"/>
              </w:rPr>
              <w:t>：</w:t>
            </w:r>
            <w:r>
              <w:rPr>
                <w:rFonts w:hint="eastAsia" w:ascii="Times New Roman" w:hAnsi="Times New Roman" w:eastAsia="仿宋"/>
                <w:bCs/>
                <w:szCs w:val="21"/>
              </w:rPr>
              <w:t>一次性交付。</w:t>
            </w:r>
          </w:p>
          <w:p w14:paraId="161F788E">
            <w:pPr>
              <w:tabs>
                <w:tab w:val="left" w:pos="6915"/>
              </w:tabs>
              <w:jc w:val="left"/>
              <w:rPr>
                <w:rFonts w:ascii="Times New Roman" w:hAnsi="Times New Roman" w:eastAsia="仿宋"/>
                <w:b/>
                <w:szCs w:val="21"/>
              </w:rPr>
            </w:pPr>
            <w:r>
              <w:rPr>
                <w:rFonts w:ascii="Times New Roman" w:hAnsi="Times New Roman" w:eastAsia="仿宋"/>
                <w:b/>
                <w:szCs w:val="21"/>
              </w:rPr>
              <w:t>付款方式</w:t>
            </w:r>
            <w:r>
              <w:rPr>
                <w:rFonts w:hint="eastAsia" w:ascii="Times New Roman" w:hAnsi="Times New Roman" w:eastAsia="仿宋"/>
                <w:b/>
                <w:szCs w:val="21"/>
              </w:rPr>
              <w:t>：</w:t>
            </w:r>
            <w:r>
              <w:rPr>
                <w:rFonts w:hint="eastAsia" w:ascii="Times New Roman" w:hAnsi="Times New Roman" w:eastAsia="仿宋"/>
                <w:szCs w:val="21"/>
              </w:rPr>
              <w:t>合同签订后支付合同总额的30%，货到验收合格后支付尾款</w:t>
            </w:r>
          </w:p>
          <w:p w14:paraId="50609E60">
            <w:pPr>
              <w:tabs>
                <w:tab w:val="left" w:pos="6915"/>
              </w:tabs>
              <w:jc w:val="left"/>
              <w:rPr>
                <w:rFonts w:ascii="Times New Roman" w:hAnsi="Times New Roman" w:eastAsia="仿宋"/>
                <w:b/>
                <w:szCs w:val="21"/>
              </w:rPr>
            </w:pPr>
            <w:r>
              <w:rPr>
                <w:rFonts w:hint="eastAsia" w:ascii="Times New Roman" w:hAnsi="Times New Roman" w:eastAsia="仿宋"/>
                <w:b/>
                <w:szCs w:val="21"/>
              </w:rPr>
              <w:t>验收指标及验收要求：</w:t>
            </w:r>
          </w:p>
          <w:p w14:paraId="4AB657CA">
            <w:pPr>
              <w:tabs>
                <w:tab w:val="left" w:pos="6915"/>
              </w:tabs>
              <w:jc w:val="left"/>
              <w:rPr>
                <w:rFonts w:hint="eastAsia"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1.出厂检验测试记录和报告。</w:t>
            </w:r>
          </w:p>
          <w:p w14:paraId="61E3BB3F">
            <w:pPr>
              <w:tabs>
                <w:tab w:val="left" w:pos="6915"/>
              </w:tabs>
              <w:jc w:val="left"/>
              <w:rPr>
                <w:rFonts w:hint="eastAsia"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2.验收期间，货物数量、规格型号等与本合同约定不符，或存在质量问题的，乙方应在接到甲方异议之日起 3日内更换合格产品重新交付至甲方指定地点，并承担因此而发生的相关费用。</w:t>
            </w:r>
          </w:p>
          <w:p w14:paraId="0995B42F">
            <w:pPr>
              <w:tabs>
                <w:tab w:val="left" w:pos="6915"/>
              </w:tabs>
              <w:jc w:val="left"/>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3.所提供的货物为全新合格标准正品，所有产品均符合国家和行业相关技术规范要求以及甲方的特殊质量要求。保证属于合法销售的产品，资料齐全（包含出厂检验报告、合格证、使用手册等其他相关资料），包装完整。</w:t>
            </w:r>
          </w:p>
          <w:p w14:paraId="00378417">
            <w:pPr>
              <w:tabs>
                <w:tab w:val="left" w:pos="6915"/>
              </w:tabs>
              <w:jc w:val="left"/>
              <w:rPr>
                <w:rFonts w:ascii="Times New Roman" w:hAnsi="Times New Roman" w:eastAsia="仿宋"/>
                <w:b/>
                <w:szCs w:val="21"/>
              </w:rPr>
            </w:pPr>
            <w:r>
              <w:rPr>
                <w:rFonts w:hint="eastAsia" w:ascii="Times New Roman" w:hAnsi="Times New Roman" w:eastAsia="仿宋"/>
                <w:b/>
                <w:szCs w:val="21"/>
              </w:rPr>
              <w:t>档案要求：</w:t>
            </w:r>
            <w:r>
              <w:rPr>
                <w:rFonts w:hint="eastAsia" w:ascii="Times New Roman" w:hAnsi="Times New Roman" w:eastAsia="仿宋"/>
                <w:bCs/>
                <w:szCs w:val="21"/>
              </w:rPr>
              <w:t>提供出厂测试报告。</w:t>
            </w:r>
          </w:p>
          <w:p w14:paraId="096670D7">
            <w:pPr>
              <w:tabs>
                <w:tab w:val="left" w:pos="6915"/>
              </w:tabs>
              <w:jc w:val="left"/>
              <w:rPr>
                <w:rFonts w:hint="eastAsia" w:ascii="Arial" w:hAnsi="Arial" w:eastAsia="宋体" w:cs="Arial"/>
                <w:b/>
                <w:bCs/>
                <w:szCs w:val="21"/>
                <w:shd w:val="clear" w:color="auto" w:fill="FFFFFF"/>
              </w:rPr>
            </w:pPr>
            <w:r>
              <w:rPr>
                <w:rFonts w:hint="eastAsia" w:ascii="Times New Roman" w:hAnsi="Times New Roman" w:eastAsia="仿宋"/>
                <w:b/>
                <w:szCs w:val="21"/>
              </w:rPr>
              <w:t>保修</w:t>
            </w:r>
            <w:r>
              <w:rPr>
                <w:rFonts w:ascii="Times New Roman" w:hAnsi="Times New Roman" w:eastAsia="仿宋"/>
                <w:b/>
                <w:szCs w:val="21"/>
              </w:rPr>
              <w:t>及售后服务</w:t>
            </w:r>
            <w:r>
              <w:rPr>
                <w:rFonts w:hint="eastAsia" w:ascii="Times New Roman" w:hAnsi="Times New Roman" w:eastAsia="仿宋"/>
                <w:b/>
                <w:szCs w:val="21"/>
              </w:rPr>
              <w:t>：</w:t>
            </w:r>
            <w:r>
              <w:rPr>
                <w:rFonts w:hint="eastAsia" w:ascii="Times New Roman" w:hAnsi="Times New Roman" w:eastAsia="仿宋"/>
                <w:bCs/>
                <w:szCs w:val="21"/>
              </w:rPr>
              <w:t>该采购项目验收通过后，质保期</w:t>
            </w:r>
            <w:r>
              <w:rPr>
                <w:rFonts w:hint="eastAsia" w:ascii="Times New Roman" w:hAnsi="Times New Roman" w:eastAsia="仿宋"/>
                <w:bCs/>
                <w:szCs w:val="21"/>
                <w:lang w:val="en-US" w:eastAsia="zh-CN"/>
              </w:rPr>
              <w:t>3</w:t>
            </w:r>
            <w:r>
              <w:rPr>
                <w:rFonts w:hint="eastAsia" w:ascii="Times New Roman" w:hAnsi="Times New Roman" w:eastAsia="仿宋"/>
                <w:bCs/>
                <w:szCs w:val="21"/>
              </w:rPr>
              <w:t>年。</w:t>
            </w:r>
          </w:p>
          <w:p w14:paraId="6947444B">
            <w:pPr>
              <w:tabs>
                <w:tab w:val="left" w:pos="6915"/>
              </w:tabs>
              <w:jc w:val="left"/>
              <w:rPr>
                <w:rFonts w:ascii="Arial" w:hAnsi="Arial" w:eastAsia="宋体" w:cs="Arial"/>
                <w:szCs w:val="21"/>
                <w:shd w:val="clear" w:color="auto" w:fill="FFFFFF"/>
              </w:rPr>
            </w:pPr>
          </w:p>
        </w:tc>
        <w:tc>
          <w:tcPr>
            <w:tcW w:w="1418" w:type="dxa"/>
            <w:vAlign w:val="center"/>
          </w:tcPr>
          <w:p w14:paraId="324B1D27">
            <w:pPr>
              <w:spacing w:line="240" w:lineRule="atLeast"/>
              <w:jc w:val="center"/>
            </w:pPr>
          </w:p>
        </w:tc>
        <w:tc>
          <w:tcPr>
            <w:tcW w:w="992" w:type="dxa"/>
            <w:vAlign w:val="center"/>
          </w:tcPr>
          <w:p w14:paraId="06AA2CA0">
            <w:pPr>
              <w:spacing w:line="240" w:lineRule="atLeast"/>
              <w:jc w:val="center"/>
            </w:pPr>
          </w:p>
        </w:tc>
      </w:tr>
    </w:tbl>
    <w:p w14:paraId="6DFFEB29">
      <w:pPr>
        <w:ind w:right="840"/>
        <w:rPr>
          <w:sz w:val="24"/>
        </w:rPr>
      </w:pPr>
      <w:bookmarkStart w:id="1" w:name="_GoBack"/>
      <w:bookmarkEnd w:id="1"/>
    </w:p>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AF65CA"/>
    <w:multiLevelType w:val="multilevel"/>
    <w:tmpl w:val="37AF65C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25804"/>
    <w:rsid w:val="00050922"/>
    <w:rsid w:val="00086882"/>
    <w:rsid w:val="00090223"/>
    <w:rsid w:val="00091C8D"/>
    <w:rsid w:val="000E54CE"/>
    <w:rsid w:val="00102C13"/>
    <w:rsid w:val="00123779"/>
    <w:rsid w:val="001501D1"/>
    <w:rsid w:val="001548E0"/>
    <w:rsid w:val="001B219D"/>
    <w:rsid w:val="001D3367"/>
    <w:rsid w:val="002026B2"/>
    <w:rsid w:val="002212AC"/>
    <w:rsid w:val="00261EE1"/>
    <w:rsid w:val="00267E42"/>
    <w:rsid w:val="002D1729"/>
    <w:rsid w:val="002E518A"/>
    <w:rsid w:val="003009AA"/>
    <w:rsid w:val="003438B5"/>
    <w:rsid w:val="00363C73"/>
    <w:rsid w:val="003923FC"/>
    <w:rsid w:val="003C2330"/>
    <w:rsid w:val="003C7C5A"/>
    <w:rsid w:val="004626C3"/>
    <w:rsid w:val="00474B94"/>
    <w:rsid w:val="004973C3"/>
    <w:rsid w:val="004B0D2F"/>
    <w:rsid w:val="00516FB3"/>
    <w:rsid w:val="00547A75"/>
    <w:rsid w:val="00584F75"/>
    <w:rsid w:val="005C4758"/>
    <w:rsid w:val="005C4AA6"/>
    <w:rsid w:val="005E2C0C"/>
    <w:rsid w:val="005F14E0"/>
    <w:rsid w:val="005F7E7B"/>
    <w:rsid w:val="006074C0"/>
    <w:rsid w:val="00630F8F"/>
    <w:rsid w:val="00642CDA"/>
    <w:rsid w:val="00670B3D"/>
    <w:rsid w:val="006C07B4"/>
    <w:rsid w:val="006D67E0"/>
    <w:rsid w:val="00705387"/>
    <w:rsid w:val="00720BC4"/>
    <w:rsid w:val="007230C5"/>
    <w:rsid w:val="00731AE1"/>
    <w:rsid w:val="00744E8E"/>
    <w:rsid w:val="00750961"/>
    <w:rsid w:val="00757D88"/>
    <w:rsid w:val="007A4C29"/>
    <w:rsid w:val="007B2AE3"/>
    <w:rsid w:val="00811B08"/>
    <w:rsid w:val="00825420"/>
    <w:rsid w:val="00832C3E"/>
    <w:rsid w:val="00872767"/>
    <w:rsid w:val="00877DA3"/>
    <w:rsid w:val="00886A2E"/>
    <w:rsid w:val="008A717C"/>
    <w:rsid w:val="008D62B6"/>
    <w:rsid w:val="008E3DB8"/>
    <w:rsid w:val="008F0FFC"/>
    <w:rsid w:val="008F5C2B"/>
    <w:rsid w:val="009149BA"/>
    <w:rsid w:val="00961437"/>
    <w:rsid w:val="00965011"/>
    <w:rsid w:val="00995429"/>
    <w:rsid w:val="00996AC3"/>
    <w:rsid w:val="009B6E26"/>
    <w:rsid w:val="009C3224"/>
    <w:rsid w:val="009C4C31"/>
    <w:rsid w:val="009F0C82"/>
    <w:rsid w:val="009F5C3A"/>
    <w:rsid w:val="00A01094"/>
    <w:rsid w:val="00A11447"/>
    <w:rsid w:val="00A20D98"/>
    <w:rsid w:val="00A27625"/>
    <w:rsid w:val="00A44E8A"/>
    <w:rsid w:val="00A533CA"/>
    <w:rsid w:val="00A8112C"/>
    <w:rsid w:val="00AC1D37"/>
    <w:rsid w:val="00AC67EF"/>
    <w:rsid w:val="00AF7A8B"/>
    <w:rsid w:val="00B04741"/>
    <w:rsid w:val="00B311D0"/>
    <w:rsid w:val="00B64004"/>
    <w:rsid w:val="00B7785A"/>
    <w:rsid w:val="00B90DC2"/>
    <w:rsid w:val="00B971DE"/>
    <w:rsid w:val="00BA1B3F"/>
    <w:rsid w:val="00BC2767"/>
    <w:rsid w:val="00C102A3"/>
    <w:rsid w:val="00C1298E"/>
    <w:rsid w:val="00C26D9F"/>
    <w:rsid w:val="00C442AD"/>
    <w:rsid w:val="00CA3288"/>
    <w:rsid w:val="00CA3E3B"/>
    <w:rsid w:val="00D011DC"/>
    <w:rsid w:val="00D04097"/>
    <w:rsid w:val="00D24D09"/>
    <w:rsid w:val="00D72E1E"/>
    <w:rsid w:val="00D81354"/>
    <w:rsid w:val="00E00131"/>
    <w:rsid w:val="00E147A9"/>
    <w:rsid w:val="00E5012E"/>
    <w:rsid w:val="00E762FD"/>
    <w:rsid w:val="00E930C8"/>
    <w:rsid w:val="00EA412A"/>
    <w:rsid w:val="00EA6BA9"/>
    <w:rsid w:val="00F347F0"/>
    <w:rsid w:val="00F34AE9"/>
    <w:rsid w:val="00F357B0"/>
    <w:rsid w:val="00F43549"/>
    <w:rsid w:val="00F50B62"/>
    <w:rsid w:val="00F70F95"/>
    <w:rsid w:val="00F829DE"/>
    <w:rsid w:val="00F82AA6"/>
    <w:rsid w:val="00F855E3"/>
    <w:rsid w:val="00FC7C08"/>
    <w:rsid w:val="00FE15FA"/>
    <w:rsid w:val="0C7718F8"/>
    <w:rsid w:val="2D070EC5"/>
    <w:rsid w:val="2E241EC9"/>
    <w:rsid w:val="46BB5348"/>
    <w:rsid w:val="51936088"/>
    <w:rsid w:val="668D6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34"/>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434</Words>
  <Characters>486</Characters>
  <Lines>4</Lines>
  <Paragraphs>1</Paragraphs>
  <TotalTime>1</TotalTime>
  <ScaleCrop>false</ScaleCrop>
  <LinksUpToDate>false</LinksUpToDate>
  <CharactersWithSpaces>515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2026-11-02T08:05:26Z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2052-12.1.0.28043</vt:lpwstr>
  </property>
  <property fmtid="{D5CDD505-2E9C-101B-9397-08002B2CF9AE}" pid="4" name="ICV">
    <vt:lpwstr>20B1B4D6E71F47CB8E65CCEFBC87FC75_12</vt:lpwstr>
  </property>
</Properties>
</file>