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像素型高分辨球面弯晶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FF22473">
            <w:pPr>
              <w:tabs>
                <w:tab w:val="left" w:pos="6915"/>
              </w:tabs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采购像素型高分辨球面弯晶</w:t>
            </w:r>
            <w:r>
              <w:rPr>
                <w:rFonts w:ascii="宋体" w:hAnsi="宋体" w:cs="宋体"/>
                <w:bCs/>
                <w:szCs w:val="21"/>
              </w:rPr>
              <w:t>5</w:t>
            </w:r>
            <w:r>
              <w:rPr>
                <w:rFonts w:hint="eastAsia" w:ascii="宋体" w:hAnsi="宋体" w:cs="宋体"/>
                <w:bCs/>
                <w:szCs w:val="21"/>
              </w:rPr>
              <w:t>块，晶型为Si(311)，示意图如图1所示，具体技术参数要求如下：</w:t>
            </w:r>
          </w:p>
          <w:tbl>
            <w:tblPr>
              <w:tblStyle w:val="5"/>
              <w:tblW w:w="478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61"/>
              <w:gridCol w:w="2219"/>
            </w:tblGrid>
            <w:tr w14:paraId="0DDA65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  <w:jc w:val="center"/>
              </w:trPr>
              <w:tc>
                <w:tcPr>
                  <w:tcW w:w="4780" w:type="dxa"/>
                  <w:gridSpan w:val="2"/>
                  <w:vAlign w:val="center"/>
                </w:tcPr>
                <w:p w14:paraId="21A68F76">
                  <w:pPr>
                    <w:tabs>
                      <w:tab w:val="left" w:pos="6915"/>
                    </w:tabs>
                    <w:jc w:val="center"/>
                    <w:rPr>
                      <w:b/>
                      <w:szCs w:val="21"/>
                    </w:rPr>
                  </w:pPr>
                  <w:r>
                    <w:rPr>
                      <w:b/>
                      <w:szCs w:val="21"/>
                    </w:rPr>
                    <w:t>技术参数</w:t>
                  </w:r>
                </w:p>
              </w:tc>
            </w:tr>
            <w:tr w14:paraId="5D8BC1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  <w:jc w:val="center"/>
              </w:trPr>
              <w:tc>
                <w:tcPr>
                  <w:tcW w:w="2561" w:type="dxa"/>
                  <w:vAlign w:val="center"/>
                </w:tcPr>
                <w:p w14:paraId="0E67675B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</w:rPr>
                    <w:t>弯晶直径</w:t>
                  </w:r>
                </w:p>
              </w:tc>
              <w:tc>
                <w:tcPr>
                  <w:tcW w:w="2219" w:type="dxa"/>
                  <w:noWrap/>
                  <w:vAlign w:val="bottom"/>
                </w:tcPr>
                <w:p w14:paraId="2FF4CDE6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vertAlign w:val="superscript"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</w:rPr>
                    <w:t>100 mm±1%</w:t>
                  </w:r>
                </w:p>
              </w:tc>
            </w:tr>
            <w:tr w14:paraId="6757C9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  <w:jc w:val="center"/>
              </w:trPr>
              <w:tc>
                <w:tcPr>
                  <w:tcW w:w="2561" w:type="dxa"/>
                  <w:vAlign w:val="center"/>
                </w:tcPr>
                <w:p w14:paraId="7F1ADC65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</w:rPr>
                    <w:t>曲率半径</w:t>
                  </w:r>
                </w:p>
              </w:tc>
              <w:tc>
                <w:tcPr>
                  <w:tcW w:w="2219" w:type="dxa"/>
                  <w:noWrap/>
                  <w:vAlign w:val="bottom"/>
                </w:tcPr>
                <w:p w14:paraId="4486181C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</w:rPr>
                    <w:t>500mm±2%</w:t>
                  </w:r>
                </w:p>
              </w:tc>
            </w:tr>
            <w:tr w14:paraId="7EC4B57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6" w:hRule="atLeast"/>
                <w:jc w:val="center"/>
              </w:trPr>
              <w:tc>
                <w:tcPr>
                  <w:tcW w:w="2561" w:type="dxa"/>
                  <w:vAlign w:val="center"/>
                </w:tcPr>
                <w:p w14:paraId="2DCAEFF8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</w:rPr>
                    <w:t>晶元尺寸</w:t>
                  </w:r>
                </w:p>
              </w:tc>
              <w:tc>
                <w:tcPr>
                  <w:tcW w:w="2219" w:type="dxa"/>
                  <w:noWrap/>
                  <w:vAlign w:val="bottom"/>
                </w:tcPr>
                <w:p w14:paraId="5D64CACB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</w:rPr>
                    <w:t>2mm×2mm</w:t>
                  </w:r>
                  <w:r>
                    <w:rPr>
                      <w:rFonts w:hint="eastAsia" w:asciiTheme="majorEastAsia" w:hAnsiTheme="majorEastAsia" w:eastAsiaTheme="majorEastAsia"/>
                      <w:b/>
                    </w:rPr>
                    <w:t>（误差±1</w:t>
                  </w:r>
                  <w:r>
                    <w:rPr>
                      <w:rFonts w:asciiTheme="majorEastAsia" w:hAnsiTheme="majorEastAsia" w:eastAsiaTheme="majorEastAsia"/>
                      <w:b/>
                    </w:rPr>
                    <w:t>0%</w:t>
                  </w:r>
                  <w:r>
                    <w:rPr>
                      <w:rFonts w:hint="eastAsia" w:asciiTheme="majorEastAsia" w:hAnsiTheme="majorEastAsia" w:eastAsiaTheme="majorEastAsia"/>
                      <w:b/>
                    </w:rPr>
                    <w:t>）</w:t>
                  </w:r>
                </w:p>
              </w:tc>
            </w:tr>
            <w:tr w14:paraId="66C1D9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  <w:jc w:val="center"/>
              </w:trPr>
              <w:tc>
                <w:tcPr>
                  <w:tcW w:w="2561" w:type="dxa"/>
                  <w:vAlign w:val="center"/>
                </w:tcPr>
                <w:p w14:paraId="44908750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晶片厚度</w:t>
                  </w:r>
                </w:p>
              </w:tc>
              <w:tc>
                <w:tcPr>
                  <w:tcW w:w="2219" w:type="dxa"/>
                  <w:noWrap/>
                  <w:vAlign w:val="bottom"/>
                </w:tcPr>
                <w:p w14:paraId="77A3ECD7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300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μ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m±5%</w:t>
                  </w:r>
                </w:p>
              </w:tc>
            </w:tr>
            <w:tr w14:paraId="5D1E812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  <w:jc w:val="center"/>
              </w:trPr>
              <w:tc>
                <w:tcPr>
                  <w:tcW w:w="2561" w:type="dxa"/>
                  <w:vAlign w:val="center"/>
                </w:tcPr>
                <w:p w14:paraId="35C9DA48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晶体底座直径</w:t>
                  </w:r>
                </w:p>
              </w:tc>
              <w:tc>
                <w:tcPr>
                  <w:tcW w:w="2219" w:type="dxa"/>
                  <w:noWrap/>
                  <w:vAlign w:val="bottom"/>
                </w:tcPr>
                <w:p w14:paraId="1BC7DAB8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101.6 mm±1%</w:t>
                  </w:r>
                </w:p>
              </w:tc>
            </w:tr>
            <w:tr w14:paraId="7E889D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46" w:hRule="atLeast"/>
                <w:jc w:val="center"/>
              </w:trPr>
              <w:tc>
                <w:tcPr>
                  <w:tcW w:w="2561" w:type="dxa"/>
                  <w:vAlign w:val="center"/>
                </w:tcPr>
                <w:p w14:paraId="764DE433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采集XES光谱时加工误差带来的能量展宽</w:t>
                  </w:r>
                </w:p>
              </w:tc>
              <w:tc>
                <w:tcPr>
                  <w:tcW w:w="2219" w:type="dxa"/>
                  <w:noWrap/>
                  <w:vAlign w:val="center"/>
                </w:tcPr>
                <w:p w14:paraId="25385E5B">
                  <w:pPr>
                    <w:tabs>
                      <w:tab w:val="left" w:pos="6915"/>
                    </w:tabs>
                    <w:jc w:val="center"/>
                    <w:rPr>
                      <w:rFonts w:asciiTheme="majorEastAsia" w:hAnsiTheme="majorEastAsia" w:eastAsiaTheme="majorEastAsia"/>
                      <w:b/>
                      <w:szCs w:val="21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>≤0.3</w:t>
                  </w:r>
                  <w:r>
                    <w:rPr>
                      <w:rFonts w:asciiTheme="majorEastAsia" w:hAnsiTheme="majorEastAsia" w:eastAsiaTheme="majorEastAsia"/>
                      <w:b/>
                      <w:szCs w:val="21"/>
                    </w:rPr>
                    <w:t>5</w:t>
                  </w:r>
                  <w:r>
                    <w:rPr>
                      <w:rFonts w:hint="eastAsia" w:asciiTheme="majorEastAsia" w:hAnsiTheme="majorEastAsia" w:eastAsiaTheme="majorEastAsia"/>
                      <w:b/>
                      <w:szCs w:val="21"/>
                    </w:rPr>
                    <w:t xml:space="preserve"> eV</w:t>
                  </w:r>
                </w:p>
              </w:tc>
            </w:tr>
          </w:tbl>
          <w:p w14:paraId="5CD496C3">
            <w:pPr>
              <w:tabs>
                <w:tab w:val="left" w:pos="6915"/>
              </w:tabs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drawing>
                <wp:inline distT="0" distB="0" distL="0" distR="0">
                  <wp:extent cx="1993900" cy="1571625"/>
                  <wp:effectExtent l="0" t="0" r="635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399" cy="1582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1E51A">
            <w:pPr>
              <w:tabs>
                <w:tab w:val="left" w:pos="6915"/>
              </w:tabs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图1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>像素型高分辨球面弯晶示意图</w:t>
            </w:r>
          </w:p>
          <w:p w14:paraId="07E91BCA">
            <w:pPr>
              <w:tabs>
                <w:tab w:val="left" w:pos="6915"/>
              </w:tabs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采集XES光谱时加工误差带来的能量展宽技术指标说明：</w:t>
            </w:r>
          </w:p>
          <w:p w14:paraId="14DBBA26">
            <w:pPr>
              <w:ind w:firstLine="420" w:firstLineChars="200"/>
              <w:jc w:val="left"/>
              <w:rPr>
                <w:szCs w:val="21"/>
                <w14:ligatures w14:val="standardContextual"/>
              </w:rPr>
            </w:pPr>
            <w:r>
              <w:rPr>
                <w:rFonts w:hint="eastAsia"/>
                <w:szCs w:val="21"/>
                <w14:ligatures w14:val="standardContextual"/>
              </w:rPr>
              <w:t>X</w:t>
            </w:r>
            <w:r>
              <w:rPr>
                <w:szCs w:val="21"/>
                <w14:ligatures w14:val="standardContextual"/>
              </w:rPr>
              <w:t>ES</w:t>
            </w:r>
            <w:r>
              <w:rPr>
                <w:rFonts w:hint="eastAsia"/>
                <w:szCs w:val="21"/>
                <w14:ligatures w14:val="standardContextual"/>
              </w:rPr>
              <w:t>的最终谱图分辨率由光束线分辨率、光谱仪分辨率</w:t>
            </w:r>
            <w:r>
              <w:rPr>
                <w:szCs w:val="21"/>
                <w14:ligatures w14:val="standardContextual"/>
              </w:rPr>
              <w:t>等多</w:t>
            </w:r>
            <w:r>
              <w:rPr>
                <w:rFonts w:hint="eastAsia"/>
                <w:szCs w:val="21"/>
                <w14:ligatures w14:val="standardContextual"/>
              </w:rPr>
              <w:t>重</w:t>
            </w:r>
            <w:r>
              <w:rPr>
                <w:szCs w:val="21"/>
                <w14:ligatures w14:val="standardContextual"/>
              </w:rPr>
              <w:t>因素贡献，具体关系如下：</w:t>
            </w:r>
          </w:p>
          <w:p w14:paraId="4C810C43">
            <w:pPr>
              <w:ind w:firstLine="420" w:firstLineChars="200"/>
              <w:jc w:val="left"/>
              <w:rPr>
                <w:iCs/>
                <w:szCs w:val="21"/>
                <w14:ligatures w14:val="standardContextual"/>
              </w:rPr>
            </w:pPr>
            <m:oMathPara>
              <m:oMath>
                <m:r>
                  <m:rPr/>
                  <w:rPr>
                    <w:rFonts w:ascii="Cambria Math" w:hAnsi="Cambria Math"/>
                    <w:szCs w:val="21"/>
                    <w14:ligatures w14:val="standardContextual"/>
                  </w:rPr>
                  <m:t>∆E=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Cs w:val="21"/>
                        <w14:ligatures w14:val="standardContextual"/>
                      </w:rPr>
                    </m:ctrlPr>
                  </m:radPr>
                  <m:deg>
                    <m:ctrlPr>
                      <w:rPr>
                        <w:rFonts w:ascii="Cambria Math" w:hAnsi="Cambria Math"/>
                        <w:i/>
                        <w:iCs/>
                        <w:szCs w:val="21"/>
                        <w14:ligatures w14:val="standardContextual"/>
                      </w:rPr>
                    </m:ctrlPr>
                  </m:deg>
                  <m:e>
                    <m:r>
                      <m:rPr/>
                      <w:rPr>
                        <w:rFonts w:ascii="Cambria Math" w:hAnsi="Cambria Math"/>
                        <w:szCs w:val="21"/>
                        <w14:ligatures w14:val="standardContextual"/>
                      </w:rPr>
                      <m:t> 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hint="eastAsia" w:ascii="Cambria Math" w:hAnsi="Cambria Math"/>
                                <w:szCs w:val="21"/>
                                <w14:ligatures w14:val="standardContextual"/>
                              </w:rPr>
                              <m:t>b</m:t>
                            </m:r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eamline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zCs w:val="21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spot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zCs w:val="21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Darwin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zCs w:val="21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Johann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up>
                    </m:sSup>
                    <m:r>
                      <m:rPr/>
                      <w:rPr>
                        <w:rFonts w:ascii="Cambria Math" w:hAnsi="Cambria Math"/>
                        <w:szCs w:val="21"/>
                        <w14:ligatures w14:val="standardContextual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∆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szCs w:val="21"/>
                                <w14:ligatures w14:val="standardContextual"/>
                              </w:rPr>
                              <m:t>Process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Cs w:val="21"/>
                                <w14:ligatures w14:val="standardContextual"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/>
                            <w:szCs w:val="21"/>
                            <w14:ligatures w14:val="standardContextual"/>
                          </w:rPr>
                          <m:t>2</m:t>
                        </m:r>
                        <m:ctrlPr>
                          <w:rPr>
                            <w:rFonts w:ascii="Cambria Math" w:hAnsi="Cambria Math"/>
                            <w:i/>
                            <w:iCs/>
                            <w:szCs w:val="21"/>
                            <w14:ligatures w14:val="standardContextual"/>
                          </w:rPr>
                        </m:ctrlPr>
                      </m:sup>
                    </m:sSup>
                    <m:ctrlPr>
                      <w:rPr>
                        <w:rFonts w:ascii="Cambria Math" w:hAnsi="Cambria Math"/>
                        <w:i/>
                        <w:iCs/>
                        <w:szCs w:val="21"/>
                        <w14:ligatures w14:val="standardContextual"/>
                      </w:rPr>
                    </m:ctrlPr>
                  </m:e>
                </m:rad>
              </m:oMath>
            </m:oMathPara>
          </w:p>
          <w:p w14:paraId="0DC0329F">
            <w:pPr>
              <w:ind w:firstLine="420" w:firstLineChars="2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其中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  <m:r>
                <m:rPr/>
                <w:rPr>
                  <w:rFonts w:ascii="Cambria Math" w:hAnsi="Cambria Math"/>
                  <w:szCs w:val="21"/>
                </w:rPr>
                <m:t>E</m:t>
              </m:r>
            </m:oMath>
            <w:r>
              <w:rPr>
                <w:rFonts w:hint="eastAsia" w:ascii="宋体" w:hAnsi="宋体"/>
                <w:bCs/>
                <w:szCs w:val="21"/>
              </w:rPr>
              <w:t>表示</w:t>
            </w:r>
            <w:r>
              <w:rPr>
                <w:rFonts w:ascii="宋体" w:hAnsi="宋体"/>
                <w:bCs/>
                <w:szCs w:val="21"/>
              </w:rPr>
              <w:t>XES 系统总分辨率</w:t>
            </w:r>
            <w:r>
              <w:rPr>
                <w:rFonts w:hint="eastAsia" w:ascii="宋体" w:hAnsi="宋体"/>
                <w:bCs/>
                <w:szCs w:val="21"/>
              </w:rPr>
              <w:t>展宽，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E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e>
                <m:sub>
                  <m:r>
                    <m:rPr/>
                    <w:rPr>
                      <w:rFonts w:hint="eastAsia" w:ascii="Cambria Math" w:hAnsi="Cambria Math"/>
                      <w:szCs w:val="21"/>
                    </w:rPr>
                    <m:t>beamline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/>
                  <w:szCs w:val="21"/>
                </w:rPr>
                <m:t>表示</m:t>
              </m:r>
            </m:oMath>
            <w:r>
              <w:rPr>
                <w:rFonts w:hint="eastAsia" w:ascii="宋体" w:hAnsi="宋体"/>
                <w:bCs/>
                <w:szCs w:val="21"/>
              </w:rPr>
              <w:t>光束线分辨率展宽，</w:t>
            </w:r>
            <w:r>
              <w:rPr>
                <w:rFonts w:ascii="宋体" w:hAnsi="宋体"/>
                <w:bCs/>
                <w:szCs w:val="21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1"/>
                    </w:rPr>
                    <m:t>Δ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E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spot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ub>
              </m:sSub>
              <m:r>
                <m:rPr>
                  <m:sty m:val="p"/>
                </m:rPr>
                <w:rPr>
                  <w:rFonts w:hint="eastAsia" w:ascii="Cambria Math" w:hAnsi="Cambria Math"/>
                  <w:szCs w:val="21"/>
                </w:rPr>
                <m:t>表示</m:t>
              </m:r>
            </m:oMath>
            <w:r>
              <w:rPr>
                <w:rFonts w:hint="eastAsia" w:ascii="宋体" w:hAnsi="宋体"/>
                <w:bCs/>
                <w:szCs w:val="21"/>
              </w:rPr>
              <w:t>光源几何尺寸带来的分辨率展宽，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E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Darwin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ub>
              </m:sSub>
            </m:oMath>
            <w:r>
              <w:rPr>
                <w:rFonts w:hint="eastAsia" w:ascii="宋体" w:hAnsi="宋体"/>
                <w:bCs/>
                <w:szCs w:val="21"/>
              </w:rPr>
              <w:t>表示晶体本征达尔文宽度带来的分辨率展宽，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E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Johann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ub>
              </m:sSub>
            </m:oMath>
            <w:r>
              <w:rPr>
                <w:rFonts w:hint="eastAsia" w:ascii="宋体" w:hAnsi="宋体"/>
                <w:bCs/>
                <w:szCs w:val="21"/>
              </w:rPr>
              <w:t>表示约翰几何像差带来的分辨率展宽，</w:t>
            </w:r>
            <m:oMath>
              <m:r>
                <m:rPr>
                  <m:sty m:val="p"/>
                </m:rPr>
                <w:rPr>
                  <w:rFonts w:ascii="Cambria Math" w:hAnsi="Cambria Math"/>
                  <w:szCs w:val="21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SubPr>
                <m:e>
                  <m:r>
                    <m:rPr/>
                    <w:rPr>
                      <w:rFonts w:ascii="Cambria Math" w:hAnsi="Cambria Math"/>
                      <w:szCs w:val="21"/>
                    </w:rPr>
                    <m:t>E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e>
                <m:sub>
                  <m:r>
                    <m:rPr/>
                    <w:rPr>
                      <w:rFonts w:ascii="Cambria Math" w:hAnsi="Cambria Math"/>
                      <w:szCs w:val="21"/>
                    </w:rPr>
                    <m:t>P</m:t>
                  </m:r>
                  <m:r>
                    <m:rPr/>
                    <w:rPr>
                      <w:rFonts w:hint="eastAsia" w:ascii="Cambria Math" w:hAnsi="Cambria Math"/>
                      <w:szCs w:val="21"/>
                    </w:rPr>
                    <m:t>r</m:t>
                  </m:r>
                  <m:r>
                    <m:rPr/>
                    <w:rPr>
                      <w:rFonts w:ascii="Cambria Math" w:hAnsi="Cambria Math"/>
                      <w:szCs w:val="21"/>
                    </w:rPr>
                    <m:t>ocess</m:t>
                  </m:r>
                  <m:ctrlPr>
                    <w:rPr>
                      <w:rFonts w:ascii="Cambria Math" w:hAnsi="Cambria Math"/>
                      <w:bCs/>
                      <w:szCs w:val="21"/>
                    </w:rPr>
                  </m:ctrlPr>
                </m:sub>
              </m:sSub>
            </m:oMath>
            <w:r>
              <w:rPr>
                <w:rFonts w:hint="eastAsia" w:ascii="宋体" w:hAnsi="宋体"/>
                <w:bCs/>
                <w:szCs w:val="21"/>
              </w:rPr>
              <w:t>表示晶体加工误差带来的分辨率展宽；</w:t>
            </w:r>
          </w:p>
          <w:p w14:paraId="154B6186">
            <w:pPr>
              <w:ind w:firstLine="420" w:firstLineChars="2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利用上述关系可知，</w:t>
            </w:r>
            <w:r>
              <w:rPr>
                <w:rFonts w:ascii="宋体" w:hAnsi="宋体"/>
                <w:bCs/>
                <w:szCs w:val="21"/>
              </w:rPr>
              <w:t>通过测量弹性散射峰的半高宽（FWHM）获得</w:t>
            </w:r>
            <w:r>
              <w:rPr>
                <w:rFonts w:hint="eastAsia" w:ascii="宋体" w:hAnsi="宋体"/>
                <w:bCs/>
                <w:szCs w:val="21"/>
              </w:rPr>
              <w:t>XES的最终谱图分辨率</w:t>
            </w:r>
            <w:r>
              <w:rPr>
                <w:rFonts w:ascii="宋体" w:hAnsi="宋体"/>
                <w:bCs/>
                <w:szCs w:val="21"/>
              </w:rPr>
              <w:t>，依次核减</w:t>
            </w:r>
            <w:r>
              <w:rPr>
                <w:rFonts w:hint="eastAsia" w:ascii="宋体" w:hAnsi="宋体"/>
                <w:bCs/>
                <w:szCs w:val="21"/>
              </w:rPr>
              <w:t>对应</w:t>
            </w:r>
            <w:r>
              <w:rPr>
                <w:rFonts w:ascii="宋体" w:hAnsi="宋体"/>
                <w:bCs/>
                <w:szCs w:val="21"/>
              </w:rPr>
              <w:t>光束线分辨率、</w:t>
            </w:r>
            <w:r>
              <w:rPr>
                <w:rFonts w:hint="eastAsia" w:ascii="宋体" w:hAnsi="宋体"/>
                <w:bCs/>
                <w:szCs w:val="21"/>
              </w:rPr>
              <w:t>光源尺寸展宽</w:t>
            </w:r>
            <w:r>
              <w:rPr>
                <w:rFonts w:ascii="宋体" w:hAnsi="宋体"/>
                <w:bCs/>
                <w:szCs w:val="21"/>
              </w:rPr>
              <w:t>等已知项，最终</w:t>
            </w:r>
            <w:r>
              <w:rPr>
                <w:rFonts w:hint="eastAsia" w:ascii="宋体" w:hAnsi="宋体"/>
                <w:bCs/>
                <w:szCs w:val="21"/>
              </w:rPr>
              <w:t>可</w:t>
            </w:r>
            <w:r>
              <w:rPr>
                <w:rFonts w:ascii="宋体" w:hAnsi="宋体"/>
                <w:bCs/>
                <w:szCs w:val="21"/>
              </w:rPr>
              <w:t>得到</w:t>
            </w:r>
            <w:r>
              <w:rPr>
                <w:rFonts w:hint="eastAsia" w:ascii="宋体" w:hAnsi="宋体"/>
                <w:bCs/>
                <w:szCs w:val="21"/>
              </w:rPr>
              <w:t>采集XES光谱时加工误差带来的能量展宽。</w:t>
            </w:r>
          </w:p>
          <w:p w14:paraId="34316818">
            <w:pPr>
              <w:pStyle w:val="11"/>
              <w:numPr>
                <w:ilvl w:val="0"/>
                <w:numId w:val="0"/>
              </w:numPr>
              <w:ind w:left="360" w:leftChars="0" w:hanging="360" w:firstLineChars="0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FD61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签订合同后</w:t>
            </w:r>
            <w:r>
              <w:rPr>
                <w:rFonts w:ascii="宋体" w:hAnsi="宋体"/>
                <w:bCs/>
                <w:szCs w:val="21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个月内</w:t>
            </w:r>
          </w:p>
          <w:p w14:paraId="1263B4E5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（1）合同签订后，支付合同总价的</w:t>
            </w:r>
            <w:r>
              <w:rPr>
                <w:rFonts w:ascii="宋体" w:hAnsi="宋体"/>
                <w:bCs/>
                <w:szCs w:val="21"/>
              </w:rPr>
              <w:t>4</w:t>
            </w:r>
            <w:r>
              <w:rPr>
                <w:rFonts w:hint="eastAsia" w:ascii="宋体" w:hAnsi="宋体"/>
                <w:bCs/>
                <w:szCs w:val="21"/>
              </w:rPr>
              <w:t>0%；（2）货到买方指定地点并且经买方验收合格后，支付合同总价的</w:t>
            </w:r>
            <w:r>
              <w:rPr>
                <w:rFonts w:ascii="宋体" w:hAnsi="宋体"/>
                <w:bCs/>
                <w:szCs w:val="21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0%。</w:t>
            </w:r>
          </w:p>
          <w:p w14:paraId="46CE2D62">
            <w:pPr>
              <w:tabs>
                <w:tab w:val="left" w:pos="691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  <w:r>
              <w:rPr>
                <w:rFonts w:hint="eastAsia" w:ascii="宋体" w:hAnsi="宋体"/>
                <w:bCs/>
                <w:szCs w:val="21"/>
              </w:rPr>
              <w:t>提供甲方驻厂验收并签字的出厂测试报告，其中采集XES光谱时加工误差带来的能量展宽需使用同步辐射光源装置测试。</w:t>
            </w:r>
          </w:p>
          <w:p w14:paraId="46CCEF3A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提供至少1年的免费保修，包含人工、维修及零件等费用。在保修期内，供货商需要及时提供维修服务，包括产品的正常检修、维护等。保修期自验收签字之日算起，保修期内因质量问题而导致设备停用的时间从保修期中扣除。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33CF6507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2026-08-28T08:21:01Z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