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烘烤车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C2C2D13">
            <w:pPr>
              <w:tabs>
                <w:tab w:val="left" w:pos="6915"/>
              </w:tabs>
              <w:jc w:val="left"/>
              <w:rPr>
                <w:rFonts w:hint="eastAsia" w:ascii="宋体" w:hAnsi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数量：6台</w:t>
            </w:r>
          </w:p>
          <w:p w14:paraId="30351A9B">
            <w:pPr>
              <w:tabs>
                <w:tab w:val="left" w:pos="6915"/>
              </w:tabs>
              <w:jc w:val="left"/>
              <w:rPr>
                <w:rFonts w:hint="default" w:ascii="宋体" w:hAnsi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各台要求如下：</w:t>
            </w:r>
          </w:p>
          <w:p w14:paraId="19878058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控温：通道≥6；各通道可独立设置参数，保温时长大于15天；</w:t>
            </w:r>
          </w:p>
          <w:p w14:paraId="766851E9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显示：触控显示屏，显示各通道的温度随时间变化的实时曲线，可进行参数设置；</w:t>
            </w:r>
          </w:p>
          <w:p w14:paraId="34A5D382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存储：具备各通道温度数据的存储和导出功能；</w:t>
            </w:r>
          </w:p>
          <w:p w14:paraId="6683F43A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温度报警及保护：具备温度报警阈值设置功能，温度超出或低于阈值，该通道能断电保护，但不影响其他通道；各通道独立设置过载保险丝；</w:t>
            </w:r>
          </w:p>
          <w:p w14:paraId="1141FDB3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烘烤功率的调节方式：采用可控硅控制器逐步加载功率；</w:t>
            </w:r>
          </w:p>
          <w:p w14:paraId="56152153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测温：各通道配置PT100热偶，测温上限≥300℃，测温精度好于±1℃；</w:t>
            </w:r>
          </w:p>
          <w:p w14:paraId="2BECED8D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烘烤设备的供电：电压380V。各通道输出：电压220V，功率2000W；</w:t>
            </w:r>
          </w:p>
          <w:p w14:paraId="1A83641F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烘烤设备外形：高度≤1.5m，宽度或长度有一边≤0.5m，重量≤100Kg，配置手推的扶手，配置4个静音轮，长度方向的前面为固定轮，后面为万向轮，万向轮可锁死，轮子直径≥12cm；</w:t>
            </w:r>
          </w:p>
          <w:p w14:paraId="3F474F0E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含加热带及配套的烘烤缆线。</w:t>
            </w:r>
          </w:p>
          <w:p w14:paraId="69C7397D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每车包含一套3m加热带和一套6米加热带。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合同签订后三个月内</w:t>
            </w:r>
          </w:p>
          <w:p w14:paraId="379C6791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一次性交付</w:t>
            </w:r>
          </w:p>
          <w:p w14:paraId="50DF4679">
            <w:pPr>
              <w:tabs>
                <w:tab w:val="left" w:pos="6915"/>
              </w:tabs>
              <w:jc w:val="left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签订合同后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预付30%合同款，到货验收合格后30日内付清剩余尾款。</w:t>
            </w:r>
          </w:p>
          <w:p w14:paraId="305C7DEB">
            <w:pPr>
              <w:tabs>
                <w:tab w:val="left" w:pos="6915"/>
              </w:tabs>
              <w:jc w:val="left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现场实测，满足技术指标要求即可。测试具体内容包括：15天以上的升温降温保温；升温完成后导出温度曲线数据；实测温度阈值、温度精度；现场测量外形尺寸。</w:t>
            </w:r>
          </w:p>
          <w:p w14:paraId="4C0C799F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验收合格后两年内非人为因素，免费质保。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2E8D33F5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2026-06-30T06:14:06Z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