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47"/>
        <w:gridCol w:w="5119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47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19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低电平控制器（4套</w:t>
            </w:r>
            <w:bookmarkStart w:id="0" w:name="_GoBack"/>
            <w:bookmarkEnd w:id="0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5119" w:type="dxa"/>
            <w:vAlign w:val="center"/>
          </w:tcPr>
          <w:p w14:paraId="5AE843C2">
            <w:pPr>
              <w:pStyle w:val="5"/>
              <w:keepNext w:val="0"/>
              <w:keepLines w:val="0"/>
              <w:pageBreakBefore w:val="0"/>
              <w:numPr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采购产品包括工作频率为2998.2MHz低电平控制器4套，以及配套的软件、现场调试服务。低电平控制器基本功能：为固放提供激励信号，对采样信号进行反馈控制，以及控制脉冲压缩器实现功率增益。参数要求为：</w:t>
            </w:r>
          </w:p>
          <w:p w14:paraId="7361C647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一、硬件要求</w:t>
            </w:r>
          </w:p>
          <w:p w14:paraId="09008184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（1）</w:t>
            </w: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整体硬件需求</w:t>
            </w:r>
          </w:p>
          <w:p w14:paraId="737551D5">
            <w:pPr>
              <w:pStyle w:val="5"/>
              <w:widowControl/>
              <w:numPr>
                <w:ilvl w:val="0"/>
                <w:numId w:val="1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交付低电平系统，每一套应包含一套</w:t>
            </w:r>
            <w:r>
              <w:rPr>
                <w:sz w:val="24"/>
                <w:szCs w:val="24"/>
              </w:rPr>
              <w:t>19</w:t>
            </w:r>
            <w:r>
              <w:rPr>
                <w:rFonts w:hint="eastAsia"/>
                <w:sz w:val="24"/>
                <w:szCs w:val="24"/>
              </w:rPr>
              <w:t>寸标准机箱及数字板卡、模拟板卡各一套；</w:t>
            </w:r>
          </w:p>
          <w:p w14:paraId="76D15103">
            <w:pPr>
              <w:pStyle w:val="5"/>
              <w:widowControl/>
              <w:numPr>
                <w:ilvl w:val="0"/>
                <w:numId w:val="1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机箱内含电源管理模块，支持多种电压且顺序上电，以及相应的保护功能；</w:t>
            </w:r>
          </w:p>
          <w:p w14:paraId="571DCB03">
            <w:pPr>
              <w:pStyle w:val="5"/>
              <w:widowControl/>
              <w:numPr>
                <w:ilvl w:val="0"/>
                <w:numId w:val="1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接口定义（接口位置不做严格要求）</w:t>
            </w:r>
          </w:p>
          <w:p w14:paraId="2D0213B9">
            <w:pPr>
              <w:pStyle w:val="5"/>
              <w:widowControl/>
              <w:numPr>
                <w:ilvl w:val="1"/>
                <w:numId w:val="1"/>
              </w:numPr>
              <w:ind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前面板：包含不少于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个触发接口（</w:t>
            </w:r>
            <w:r>
              <w:rPr>
                <w:sz w:val="24"/>
                <w:szCs w:val="24"/>
              </w:rPr>
              <w:t>ST</w:t>
            </w:r>
            <w:r>
              <w:rPr>
                <w:rFonts w:hint="eastAsia"/>
                <w:sz w:val="24"/>
                <w:szCs w:val="24"/>
              </w:rPr>
              <w:t>光触发以及</w:t>
            </w:r>
            <w:r>
              <w:rPr>
                <w:sz w:val="24"/>
                <w:szCs w:val="24"/>
              </w:rPr>
              <w:t>SMA</w:t>
            </w:r>
            <w:r>
              <w:rPr>
                <w:rFonts w:hint="eastAsia"/>
                <w:sz w:val="24"/>
                <w:szCs w:val="24"/>
              </w:rPr>
              <w:t>电触发）、低电平所需信号接口（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个时钟、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个本振、一个参考信号）以及输入输出信号接口（</w:t>
            </w:r>
            <w:r>
              <w:rPr>
                <w:sz w:val="24"/>
                <w:szCs w:val="24"/>
              </w:rPr>
              <w:t>AC</w:t>
            </w:r>
            <w:r>
              <w:rPr>
                <w:rFonts w:hint="eastAsia"/>
                <w:sz w:val="24"/>
                <w:szCs w:val="24"/>
              </w:rPr>
              <w:t>通道输入≥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个、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个</w:t>
            </w:r>
            <w:r>
              <w:rPr>
                <w:sz w:val="24"/>
                <w:szCs w:val="24"/>
              </w:rPr>
              <w:t>DC</w:t>
            </w:r>
            <w:r>
              <w:rPr>
                <w:rFonts w:hint="eastAsia"/>
                <w:sz w:val="24"/>
                <w:szCs w:val="24"/>
              </w:rPr>
              <w:t>通道输入以及一个低电平输出）；</w:t>
            </w:r>
          </w:p>
          <w:p w14:paraId="43BB6DAF">
            <w:pPr>
              <w:pStyle w:val="5"/>
              <w:widowControl/>
              <w:numPr>
                <w:ilvl w:val="1"/>
                <w:numId w:val="1"/>
              </w:numPr>
              <w:ind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后面板：包含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个以上网线接口（连接控制系统）、</w:t>
            </w:r>
            <w:r>
              <w:rPr>
                <w:sz w:val="24"/>
                <w:szCs w:val="24"/>
              </w:rPr>
              <w:t>USB</w:t>
            </w:r>
            <w:r>
              <w:rPr>
                <w:rFonts w:hint="eastAsia"/>
                <w:sz w:val="24"/>
                <w:szCs w:val="24"/>
              </w:rPr>
              <w:t>口≥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个、</w:t>
            </w:r>
            <w:r>
              <w:rPr>
                <w:sz w:val="24"/>
                <w:szCs w:val="24"/>
              </w:rPr>
              <w:t>VGA</w:t>
            </w:r>
            <w:r>
              <w:rPr>
                <w:rFonts w:hint="eastAsia"/>
                <w:sz w:val="24"/>
                <w:szCs w:val="24"/>
              </w:rPr>
              <w:t>和</w:t>
            </w:r>
            <w:r>
              <w:rPr>
                <w:sz w:val="24"/>
                <w:szCs w:val="24"/>
              </w:rPr>
              <w:t>HDMI</w:t>
            </w:r>
            <w:r>
              <w:rPr>
                <w:rFonts w:hint="eastAsia"/>
                <w:sz w:val="24"/>
                <w:szCs w:val="24"/>
              </w:rPr>
              <w:t>等屏幕通信接口≥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个、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路</w:t>
            </w:r>
            <w:r>
              <w:rPr>
                <w:sz w:val="24"/>
                <w:szCs w:val="24"/>
              </w:rPr>
              <w:t>JTAG/SWG</w:t>
            </w:r>
            <w:r>
              <w:rPr>
                <w:rFonts w:hint="eastAsia"/>
                <w:sz w:val="24"/>
                <w:szCs w:val="24"/>
              </w:rPr>
              <w:t>调试接口。</w:t>
            </w:r>
          </w:p>
          <w:p w14:paraId="086BA560">
            <w:pPr>
              <w:widowControl/>
              <w:ind w:left="210" w:left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（2）</w:t>
            </w: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数字板卡</w:t>
            </w:r>
          </w:p>
          <w:p w14:paraId="24B3FC57">
            <w:pPr>
              <w:pStyle w:val="5"/>
              <w:widowControl/>
              <w:numPr>
                <w:ilvl w:val="0"/>
                <w:numId w:val="2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ADC</w:t>
            </w:r>
            <w:r>
              <w:rPr>
                <w:rFonts w:hint="eastAsia"/>
                <w:sz w:val="24"/>
                <w:szCs w:val="24"/>
              </w:rPr>
              <w:t>模块：≥</w:t>
            </w:r>
            <w:r>
              <w:rPr>
                <w:sz w:val="24"/>
                <w:szCs w:val="24"/>
              </w:rPr>
              <w:t xml:space="preserve">10 </w:t>
            </w:r>
            <w:r>
              <w:rPr>
                <w:rFonts w:hint="eastAsia"/>
                <w:sz w:val="24"/>
                <w:szCs w:val="24"/>
              </w:rPr>
              <w:t>通道（≥</w:t>
            </w:r>
            <w:r>
              <w:rPr>
                <w:sz w:val="24"/>
                <w:szCs w:val="24"/>
              </w:rPr>
              <w:t xml:space="preserve">8 </w:t>
            </w:r>
            <w:r>
              <w:rPr>
                <w:rFonts w:hint="eastAsia"/>
                <w:sz w:val="24"/>
                <w:szCs w:val="24"/>
              </w:rPr>
              <w:t>路</w:t>
            </w:r>
            <w:r>
              <w:rPr>
                <w:sz w:val="24"/>
                <w:szCs w:val="24"/>
              </w:rPr>
              <w:t xml:space="preserve"> AC </w:t>
            </w:r>
            <w:r>
              <w:rPr>
                <w:rFonts w:hint="eastAsia"/>
                <w:sz w:val="24"/>
                <w:szCs w:val="24"/>
              </w:rPr>
              <w:t>耦合），≥</w:t>
            </w:r>
            <w:r>
              <w:rPr>
                <w:sz w:val="24"/>
                <w:szCs w:val="24"/>
              </w:rPr>
              <w:t xml:space="preserve">16bit </w:t>
            </w:r>
            <w:r>
              <w:rPr>
                <w:rFonts w:hint="eastAsia"/>
                <w:sz w:val="24"/>
                <w:szCs w:val="24"/>
              </w:rPr>
              <w:t>分辨率，≥</w:t>
            </w:r>
            <w:r>
              <w:rPr>
                <w:sz w:val="24"/>
                <w:szCs w:val="24"/>
              </w:rPr>
              <w:t xml:space="preserve">125MS/s </w:t>
            </w:r>
            <w:r>
              <w:rPr>
                <w:rFonts w:hint="eastAsia"/>
                <w:sz w:val="24"/>
                <w:szCs w:val="24"/>
              </w:rPr>
              <w:t>采样率，</w:t>
            </w:r>
            <w:r>
              <w:rPr>
                <w:sz w:val="24"/>
                <w:szCs w:val="24"/>
              </w:rPr>
              <w:t>SNR</w:t>
            </w: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65dB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27E44C61">
            <w:pPr>
              <w:pStyle w:val="5"/>
              <w:widowControl/>
              <w:numPr>
                <w:ilvl w:val="0"/>
                <w:numId w:val="2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DAC</w:t>
            </w:r>
            <w:r>
              <w:rPr>
                <w:rFonts w:hint="eastAsia"/>
                <w:sz w:val="24"/>
                <w:szCs w:val="24"/>
              </w:rPr>
              <w:t>模块：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rFonts w:hint="eastAsia"/>
                <w:sz w:val="24"/>
                <w:szCs w:val="24"/>
              </w:rPr>
              <w:t>通道，≥</w:t>
            </w:r>
            <w:r>
              <w:rPr>
                <w:sz w:val="24"/>
                <w:szCs w:val="24"/>
              </w:rPr>
              <w:t xml:space="preserve">16bit </w:t>
            </w:r>
            <w:r>
              <w:rPr>
                <w:rFonts w:hint="eastAsia"/>
                <w:sz w:val="24"/>
                <w:szCs w:val="24"/>
              </w:rPr>
              <w:t>分辨率，≥</w:t>
            </w:r>
            <w:r>
              <w:rPr>
                <w:sz w:val="24"/>
                <w:szCs w:val="24"/>
              </w:rPr>
              <w:t xml:space="preserve">250MS/s </w:t>
            </w:r>
            <w:r>
              <w:rPr>
                <w:rFonts w:hint="eastAsia"/>
                <w:sz w:val="24"/>
                <w:szCs w:val="24"/>
              </w:rPr>
              <w:t>采样率，支持</w:t>
            </w:r>
            <w:r>
              <w:rPr>
                <w:sz w:val="24"/>
                <w:szCs w:val="24"/>
              </w:rPr>
              <w:t xml:space="preserve"> DC/AC </w:t>
            </w:r>
            <w:r>
              <w:rPr>
                <w:rFonts w:hint="eastAsia"/>
                <w:sz w:val="24"/>
                <w:szCs w:val="24"/>
              </w:rPr>
              <w:t>输出（</w:t>
            </w:r>
            <w:r>
              <w:rPr>
                <w:sz w:val="24"/>
                <w:szCs w:val="24"/>
              </w:rPr>
              <w:t xml:space="preserve">DC </w:t>
            </w:r>
            <w:r>
              <w:rPr>
                <w:rFonts w:hint="eastAsia"/>
                <w:sz w:val="24"/>
                <w:szCs w:val="24"/>
              </w:rPr>
              <w:t>通道最大</w:t>
            </w:r>
            <w:r>
              <w:rPr>
                <w:sz w:val="24"/>
                <w:szCs w:val="24"/>
              </w:rPr>
              <w:t xml:space="preserve"> ±5V </w:t>
            </w:r>
            <w:r>
              <w:rPr>
                <w:rFonts w:hint="eastAsia"/>
                <w:sz w:val="24"/>
                <w:szCs w:val="24"/>
              </w:rPr>
              <w:t>脉冲），每路独立调节；</w:t>
            </w:r>
          </w:p>
          <w:p w14:paraId="7C52F69B">
            <w:pPr>
              <w:pStyle w:val="5"/>
              <w:widowControl/>
              <w:numPr>
                <w:ilvl w:val="0"/>
                <w:numId w:val="2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触发接口：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rFonts w:hint="eastAsia"/>
                <w:sz w:val="24"/>
                <w:szCs w:val="24"/>
              </w:rPr>
              <w:t>路</w:t>
            </w:r>
            <w:r>
              <w:rPr>
                <w:sz w:val="24"/>
                <w:szCs w:val="24"/>
              </w:rPr>
              <w:t xml:space="preserve"> ST </w:t>
            </w:r>
            <w:r>
              <w:rPr>
                <w:rFonts w:hint="eastAsia"/>
                <w:sz w:val="24"/>
                <w:szCs w:val="24"/>
              </w:rPr>
              <w:t>光触发</w:t>
            </w:r>
            <w:r>
              <w:rPr>
                <w:sz w:val="24"/>
                <w:szCs w:val="24"/>
              </w:rPr>
              <w:t xml:space="preserve"> + 2 </w:t>
            </w:r>
            <w:r>
              <w:rPr>
                <w:rFonts w:hint="eastAsia"/>
                <w:sz w:val="24"/>
                <w:szCs w:val="24"/>
              </w:rPr>
              <w:t>路</w:t>
            </w:r>
            <w:r>
              <w:rPr>
                <w:sz w:val="24"/>
                <w:szCs w:val="24"/>
              </w:rPr>
              <w:t xml:space="preserve"> SMA TTL </w:t>
            </w:r>
            <w:r>
              <w:rPr>
                <w:rFonts w:hint="eastAsia"/>
                <w:sz w:val="24"/>
                <w:szCs w:val="24"/>
              </w:rPr>
              <w:t>触发，触发重频≥</w:t>
            </w:r>
            <w:r>
              <w:rPr>
                <w:sz w:val="24"/>
                <w:szCs w:val="24"/>
              </w:rPr>
              <w:t>100Hz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15CBA28E">
            <w:pPr>
              <w:pStyle w:val="5"/>
              <w:widowControl/>
              <w:numPr>
                <w:ilvl w:val="0"/>
                <w:numId w:val="2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FPGA</w:t>
            </w:r>
            <w:r>
              <w:rPr>
                <w:rFonts w:hint="eastAsia"/>
                <w:sz w:val="24"/>
                <w:szCs w:val="24"/>
              </w:rPr>
              <w:t>与存储：选用</w:t>
            </w:r>
            <w:r>
              <w:rPr>
                <w:sz w:val="24"/>
                <w:szCs w:val="24"/>
              </w:rPr>
              <w:t xml:space="preserve"> Xilinx Kintex/Virtex UltraScale </w:t>
            </w:r>
            <w:r>
              <w:rPr>
                <w:rFonts w:hint="eastAsia"/>
                <w:sz w:val="24"/>
                <w:szCs w:val="24"/>
              </w:rPr>
              <w:t>系列（不低于</w:t>
            </w:r>
            <w:r>
              <w:rPr>
                <w:sz w:val="24"/>
                <w:szCs w:val="24"/>
              </w:rPr>
              <w:t xml:space="preserve"> XCKU115-2FLVA1517E</w:t>
            </w:r>
            <w:r>
              <w:rPr>
                <w:rFonts w:hint="eastAsia"/>
                <w:sz w:val="24"/>
                <w:szCs w:val="24"/>
              </w:rPr>
              <w:t>），逻辑单元≥</w:t>
            </w:r>
            <w:r>
              <w:rPr>
                <w:sz w:val="24"/>
                <w:szCs w:val="24"/>
              </w:rPr>
              <w:t xml:space="preserve">145 </w:t>
            </w:r>
            <w:r>
              <w:rPr>
                <w:rFonts w:hint="eastAsia"/>
                <w:sz w:val="24"/>
                <w:szCs w:val="24"/>
              </w:rPr>
              <w:t>万、</w:t>
            </w:r>
            <w:r>
              <w:rPr>
                <w:sz w:val="24"/>
                <w:szCs w:val="24"/>
              </w:rPr>
              <w:t xml:space="preserve">DSP </w:t>
            </w:r>
            <w:r>
              <w:rPr>
                <w:rFonts w:hint="eastAsia"/>
                <w:sz w:val="24"/>
                <w:szCs w:val="24"/>
              </w:rPr>
              <w:t>切片≥</w:t>
            </w:r>
            <w:r>
              <w:rPr>
                <w:sz w:val="24"/>
                <w:szCs w:val="24"/>
              </w:rPr>
              <w:t xml:space="preserve">5520 </w:t>
            </w:r>
            <w:r>
              <w:rPr>
                <w:rFonts w:hint="eastAsia"/>
                <w:sz w:val="24"/>
                <w:szCs w:val="24"/>
              </w:rPr>
              <w:t>个、</w:t>
            </w:r>
            <w:r>
              <w:rPr>
                <w:sz w:val="24"/>
                <w:szCs w:val="24"/>
              </w:rPr>
              <w:t xml:space="preserve">GTH </w:t>
            </w:r>
            <w:r>
              <w:rPr>
                <w:rFonts w:hint="eastAsia"/>
                <w:sz w:val="24"/>
                <w:szCs w:val="24"/>
              </w:rPr>
              <w:t>高速收发器</w:t>
            </w:r>
            <w:r>
              <w:rPr>
                <w:sz w:val="24"/>
                <w:szCs w:val="24"/>
              </w:rPr>
              <w:t xml:space="preserve"> 64 </w:t>
            </w:r>
            <w:r>
              <w:rPr>
                <w:rFonts w:hint="eastAsia"/>
                <w:sz w:val="24"/>
                <w:szCs w:val="24"/>
              </w:rPr>
              <w:t>个；片内</w:t>
            </w:r>
            <w:r>
              <w:rPr>
                <w:sz w:val="24"/>
                <w:szCs w:val="24"/>
              </w:rPr>
              <w:t xml:space="preserve"> RAM</w:t>
            </w: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77721600 bits</w:t>
            </w:r>
            <w:r>
              <w:rPr>
                <w:rFonts w:hint="eastAsia"/>
                <w:sz w:val="24"/>
                <w:szCs w:val="24"/>
              </w:rPr>
              <w:t>，外挂</w:t>
            </w:r>
            <w:r>
              <w:rPr>
                <w:sz w:val="24"/>
                <w:szCs w:val="24"/>
              </w:rPr>
              <w:t xml:space="preserve"> DDR </w:t>
            </w:r>
            <w:r>
              <w:rPr>
                <w:rFonts w:hint="eastAsia"/>
                <w:sz w:val="24"/>
                <w:szCs w:val="24"/>
              </w:rPr>
              <w:t>存储≥</w:t>
            </w:r>
            <w:r>
              <w:rPr>
                <w:sz w:val="24"/>
                <w:szCs w:val="24"/>
              </w:rPr>
              <w:t>8Gb</w:t>
            </w:r>
            <w:r>
              <w:rPr>
                <w:rFonts w:hint="eastAsia"/>
                <w:sz w:val="24"/>
                <w:szCs w:val="24"/>
              </w:rPr>
              <w:t>；</w:t>
            </w:r>
            <w:r>
              <w:rPr>
                <w:sz w:val="24"/>
                <w:szCs w:val="24"/>
              </w:rPr>
              <w:t xml:space="preserve">I/O </w:t>
            </w:r>
            <w:r>
              <w:rPr>
                <w:rFonts w:hint="eastAsia"/>
                <w:sz w:val="24"/>
                <w:szCs w:val="24"/>
              </w:rPr>
              <w:t>端口≥</w:t>
            </w:r>
            <w:r>
              <w:rPr>
                <w:sz w:val="24"/>
                <w:szCs w:val="24"/>
              </w:rPr>
              <w:t xml:space="preserve">624 </w:t>
            </w:r>
            <w:r>
              <w:rPr>
                <w:rFonts w:hint="eastAsia"/>
                <w:sz w:val="24"/>
                <w:szCs w:val="24"/>
              </w:rPr>
              <w:t>个，引脚≥</w:t>
            </w:r>
            <w:r>
              <w:rPr>
                <w:sz w:val="24"/>
                <w:szCs w:val="24"/>
              </w:rPr>
              <w:t xml:space="preserve">1500 </w:t>
            </w:r>
            <w:r>
              <w:rPr>
                <w:rFonts w:hint="eastAsia"/>
                <w:sz w:val="24"/>
                <w:szCs w:val="24"/>
              </w:rPr>
              <w:t>个。</w:t>
            </w:r>
          </w:p>
          <w:p w14:paraId="4027DA02">
            <w:pPr>
              <w:widowControl/>
              <w:ind w:left="210" w:left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（3）</w:t>
            </w: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模拟板卡</w:t>
            </w:r>
          </w:p>
          <w:p w14:paraId="53E34FF3">
            <w:pPr>
              <w:pStyle w:val="5"/>
              <w:widowControl/>
              <w:numPr>
                <w:ilvl w:val="0"/>
                <w:numId w:val="3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RF</w:t>
            </w:r>
            <w:r>
              <w:rPr>
                <w:rFonts w:hint="eastAsia"/>
                <w:sz w:val="24"/>
                <w:szCs w:val="24"/>
              </w:rPr>
              <w:t>前端测量通道：直通通道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路，下变频通道≥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路（阻抗</w:t>
            </w:r>
            <w:r>
              <w:rPr>
                <w:sz w:val="24"/>
                <w:szCs w:val="24"/>
              </w:rPr>
              <w:t>50</w:t>
            </w:r>
            <w:r>
              <w:rPr>
                <w:rFonts w:hint="eastAsia"/>
                <w:sz w:val="24"/>
                <w:szCs w:val="24"/>
              </w:rPr>
              <w:t>欧姆，衰减为</w:t>
            </w:r>
            <w:r>
              <w:rPr>
                <w:sz w:val="24"/>
                <w:szCs w:val="24"/>
              </w:rPr>
              <w:t>0dB</w:t>
            </w:r>
            <w:r>
              <w:rPr>
                <w:rFonts w:hint="eastAsia"/>
                <w:sz w:val="24"/>
                <w:szCs w:val="24"/>
              </w:rPr>
              <w:t>时最大可支持≥</w:t>
            </w:r>
            <w:r>
              <w:rPr>
                <w:sz w:val="24"/>
                <w:szCs w:val="24"/>
              </w:rPr>
              <w:t>2 dBm</w:t>
            </w:r>
            <w:r>
              <w:rPr>
                <w:rFonts w:hint="eastAsia"/>
                <w:sz w:val="24"/>
                <w:szCs w:val="24"/>
              </w:rPr>
              <w:t>功率输入）；</w:t>
            </w:r>
          </w:p>
          <w:p w14:paraId="527EF338">
            <w:pPr>
              <w:pStyle w:val="5"/>
              <w:widowControl/>
              <w:numPr>
                <w:ilvl w:val="0"/>
                <w:numId w:val="3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输入信号频率：</w:t>
            </w:r>
            <w:r>
              <w:rPr>
                <w:sz w:val="24"/>
                <w:szCs w:val="24"/>
              </w:rPr>
              <w:t xml:space="preserve"> 10MHz—4GHz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RF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LO</w:t>
            </w:r>
            <w:r>
              <w:rPr>
                <w:rFonts w:hint="eastAsia"/>
                <w:sz w:val="24"/>
                <w:szCs w:val="24"/>
              </w:rPr>
              <w:t>）；</w:t>
            </w:r>
          </w:p>
          <w:p w14:paraId="6B45924B">
            <w:pPr>
              <w:pStyle w:val="5"/>
              <w:widowControl/>
              <w:numPr>
                <w:ilvl w:val="0"/>
                <w:numId w:val="3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可编程衰减器：下变频通道和输出通道应含可编程衰减器，最大衰减量≥</w:t>
            </w:r>
            <w:r>
              <w:rPr>
                <w:sz w:val="24"/>
                <w:szCs w:val="24"/>
              </w:rPr>
              <w:t>30 d</w:t>
            </w:r>
            <w:r>
              <w:rPr>
                <w:rFonts w:hint="eastAsia"/>
                <w:sz w:val="24"/>
                <w:szCs w:val="24"/>
              </w:rPr>
              <w:t>B，可调步长≤</w:t>
            </w:r>
            <w:r>
              <w:rPr>
                <w:sz w:val="24"/>
                <w:szCs w:val="24"/>
              </w:rPr>
              <w:t>0.25 dB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670A371D">
            <w:pPr>
              <w:pStyle w:val="5"/>
              <w:widowControl/>
              <w:numPr>
                <w:ilvl w:val="0"/>
                <w:numId w:val="3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通道间隔离度：≥</w:t>
            </w:r>
            <w:r>
              <w:rPr>
                <w:sz w:val="24"/>
                <w:szCs w:val="24"/>
              </w:rPr>
              <w:t>80 dB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556E855D">
            <w:pPr>
              <w:pStyle w:val="5"/>
              <w:widowControl/>
              <w:numPr>
                <w:ilvl w:val="0"/>
                <w:numId w:val="3"/>
              </w:numPr>
              <w:ind w:left="210" w:leftChars="100" w:firstLineChars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输出</w:t>
            </w:r>
            <w:r>
              <w:rPr>
                <w:sz w:val="24"/>
                <w:szCs w:val="24"/>
              </w:rPr>
              <w:t>RF</w:t>
            </w:r>
            <w:r>
              <w:rPr>
                <w:rFonts w:hint="eastAsia"/>
                <w:sz w:val="24"/>
                <w:szCs w:val="24"/>
              </w:rPr>
              <w:t>信号：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通道，</w:t>
            </w:r>
            <w:r>
              <w:rPr>
                <w:sz w:val="24"/>
                <w:szCs w:val="24"/>
              </w:rPr>
              <w:t>10MHz-4GHz</w:t>
            </w:r>
            <w:r>
              <w:rPr>
                <w:rFonts w:hint="eastAsia"/>
                <w:sz w:val="24"/>
                <w:szCs w:val="24"/>
              </w:rPr>
              <w:t>，输出最大功率≥</w:t>
            </w:r>
            <w:r>
              <w:rPr>
                <w:sz w:val="24"/>
                <w:szCs w:val="24"/>
              </w:rPr>
              <w:t>6 dBm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798040DF">
            <w:pPr>
              <w:widowControl/>
              <w:ind w:left="210" w:left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二、软件要求</w:t>
            </w:r>
          </w:p>
          <w:p w14:paraId="48459689">
            <w:pPr>
              <w:pStyle w:val="5"/>
              <w:widowControl/>
              <w:numPr>
                <w:ilvl w:val="0"/>
                <w:numId w:val="4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应包含基于</w:t>
            </w:r>
            <w:r>
              <w:rPr>
                <w:sz w:val="24"/>
                <w:szCs w:val="24"/>
              </w:rPr>
              <w:t>Windows/Linux</w:t>
            </w:r>
            <w:r>
              <w:rPr>
                <w:rFonts w:hint="eastAsia"/>
                <w:sz w:val="24"/>
                <w:szCs w:val="24"/>
              </w:rPr>
              <w:t>系统的</w:t>
            </w:r>
            <w:r>
              <w:rPr>
                <w:sz w:val="24"/>
                <w:szCs w:val="24"/>
              </w:rPr>
              <w:t>EPICS</w:t>
            </w:r>
            <w:r>
              <w:rPr>
                <w:rFonts w:hint="eastAsia"/>
                <w:sz w:val="24"/>
                <w:szCs w:val="24"/>
              </w:rPr>
              <w:t>的</w:t>
            </w:r>
            <w:r>
              <w:rPr>
                <w:sz w:val="24"/>
                <w:szCs w:val="24"/>
              </w:rPr>
              <w:t>IOC</w:t>
            </w:r>
            <w:r>
              <w:rPr>
                <w:rFonts w:hint="eastAsia"/>
                <w:sz w:val="24"/>
                <w:szCs w:val="24"/>
              </w:rPr>
              <w:t>及</w:t>
            </w:r>
            <w:r>
              <w:rPr>
                <w:sz w:val="24"/>
                <w:szCs w:val="24"/>
              </w:rPr>
              <w:t>OPI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30ACD26C">
            <w:pPr>
              <w:pStyle w:val="5"/>
              <w:widowControl/>
              <w:numPr>
                <w:ilvl w:val="0"/>
                <w:numId w:val="4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与控制系统通讯，需满足</w:t>
            </w:r>
            <w:r>
              <w:rPr>
                <w:sz w:val="24"/>
                <w:szCs w:val="24"/>
              </w:rPr>
              <w:t>STCF-BTP</w:t>
            </w:r>
            <w:r>
              <w:rPr>
                <w:rFonts w:hint="eastAsia"/>
                <w:sz w:val="24"/>
                <w:szCs w:val="24"/>
              </w:rPr>
              <w:t>设备控制接口规范（甲方提供）；</w:t>
            </w:r>
          </w:p>
          <w:p w14:paraId="71114C1A">
            <w:pPr>
              <w:pStyle w:val="5"/>
              <w:widowControl/>
              <w:numPr>
                <w:ilvl w:val="0"/>
                <w:numId w:val="4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IOC</w:t>
            </w:r>
            <w:r>
              <w:rPr>
                <w:rFonts w:hint="eastAsia"/>
                <w:sz w:val="24"/>
                <w:szCs w:val="24"/>
              </w:rPr>
              <w:t>功能要求：与</w:t>
            </w:r>
            <w:r>
              <w:rPr>
                <w:sz w:val="24"/>
                <w:szCs w:val="24"/>
              </w:rPr>
              <w:t>FPGA</w:t>
            </w:r>
            <w:r>
              <w:rPr>
                <w:rFonts w:hint="eastAsia"/>
                <w:sz w:val="24"/>
                <w:szCs w:val="24"/>
              </w:rPr>
              <w:t>进行通信（数据的提取及控制参数下发），需增加反射保护、自动老练适配算法等功能，以及触发中断自恢复以及开机自启动的功能；</w:t>
            </w:r>
          </w:p>
          <w:p w14:paraId="3FA17D9A">
            <w:pPr>
              <w:pStyle w:val="5"/>
              <w:widowControl/>
              <w:numPr>
                <w:ilvl w:val="0"/>
                <w:numId w:val="4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OPI</w:t>
            </w:r>
            <w:r>
              <w:rPr>
                <w:rFonts w:hint="eastAsia"/>
                <w:sz w:val="24"/>
                <w:szCs w:val="24"/>
              </w:rPr>
              <w:t>要求：供应商应指导甲方进行操作系统的配置，操作系统应提前配置好</w:t>
            </w:r>
            <w:r>
              <w:rPr>
                <w:sz w:val="24"/>
                <w:szCs w:val="24"/>
              </w:rPr>
              <w:t>python3</w:t>
            </w:r>
            <w:r>
              <w:rPr>
                <w:rFonts w:hint="eastAsia"/>
                <w:sz w:val="24"/>
                <w:szCs w:val="24"/>
              </w:rPr>
              <w:t>及</w:t>
            </w:r>
            <w:r>
              <w:rPr>
                <w:sz w:val="24"/>
                <w:szCs w:val="24"/>
              </w:rPr>
              <w:t>jdk-17</w:t>
            </w:r>
            <w:r>
              <w:rPr>
                <w:rFonts w:hint="eastAsia"/>
                <w:sz w:val="24"/>
                <w:szCs w:val="24"/>
              </w:rPr>
              <w:t>环境，并配有基于</w:t>
            </w:r>
            <w:r>
              <w:rPr>
                <w:sz w:val="24"/>
                <w:szCs w:val="24"/>
              </w:rPr>
              <w:t>CSS-Studio</w:t>
            </w:r>
            <w:r>
              <w:rPr>
                <w:rFonts w:hint="eastAsia"/>
                <w:sz w:val="24"/>
                <w:szCs w:val="24"/>
              </w:rPr>
              <w:t>下的</w:t>
            </w:r>
            <w:r>
              <w:rPr>
                <w:sz w:val="24"/>
                <w:szCs w:val="24"/>
              </w:rPr>
              <w:t>phoebus</w:t>
            </w:r>
            <w:r>
              <w:rPr>
                <w:rFonts w:hint="eastAsia"/>
                <w:sz w:val="24"/>
                <w:szCs w:val="24"/>
              </w:rPr>
              <w:t>的用户操作界面；</w:t>
            </w:r>
          </w:p>
          <w:p w14:paraId="315C5609">
            <w:pPr>
              <w:pStyle w:val="5"/>
              <w:widowControl/>
              <w:numPr>
                <w:ilvl w:val="0"/>
                <w:numId w:val="4"/>
              </w:numPr>
              <w:ind w:left="210" w:leftChars="100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OPI</w:t>
            </w:r>
            <w:r>
              <w:rPr>
                <w:rFonts w:hint="eastAsia"/>
                <w:sz w:val="24"/>
                <w:szCs w:val="24"/>
              </w:rPr>
              <w:t>界面功能：监控系统触发、时钟的状态；监控各通道采样值，含解调幅度、相位、功率；控制输入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输出通道衰减值、低电平输出脉冲宽度、延时，幅度、相位；可调整与反馈相关的参数；</w:t>
            </w:r>
          </w:p>
          <w:p w14:paraId="3E5D6FFC">
            <w:pPr>
              <w:pStyle w:val="5"/>
              <w:widowControl/>
              <w:numPr>
                <w:ilvl w:val="0"/>
                <w:numId w:val="4"/>
              </w:numPr>
              <w:ind w:left="210" w:leftChars="10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FPGA</w:t>
            </w:r>
            <w:r>
              <w:rPr>
                <w:rFonts w:hint="eastAsia"/>
                <w:sz w:val="24"/>
                <w:szCs w:val="24"/>
              </w:rPr>
              <w:t>代码要求：能够与上位机通过</w:t>
            </w:r>
            <w:r>
              <w:rPr>
                <w:sz w:val="24"/>
                <w:szCs w:val="24"/>
              </w:rPr>
              <w:t>TCP/UDP</w:t>
            </w:r>
            <w:r>
              <w:rPr>
                <w:rFonts w:hint="eastAsia"/>
                <w:sz w:val="24"/>
                <w:szCs w:val="24"/>
              </w:rPr>
              <w:t>进行通信。算法方面应支持</w:t>
            </w:r>
            <w:r>
              <w:rPr>
                <w:sz w:val="24"/>
                <w:szCs w:val="24"/>
              </w:rPr>
              <w:t>IQ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sz w:val="24"/>
                <w:szCs w:val="24"/>
              </w:rPr>
              <w:t>Non-IQ</w:t>
            </w:r>
            <w:r>
              <w:rPr>
                <w:rFonts w:hint="eastAsia"/>
                <w:sz w:val="24"/>
                <w:szCs w:val="24"/>
              </w:rPr>
              <w:t>解调算法。闭环反馈算法实现重频≥</w:t>
            </w:r>
            <w:r>
              <w:rPr>
                <w:sz w:val="24"/>
                <w:szCs w:val="24"/>
              </w:rPr>
              <w:t>50Hz</w:t>
            </w:r>
            <w:r>
              <w:rPr>
                <w:rFonts w:hint="eastAsia"/>
                <w:sz w:val="24"/>
                <w:szCs w:val="24"/>
              </w:rPr>
              <w:t>的</w:t>
            </w:r>
            <w:r>
              <w:rPr>
                <w:sz w:val="24"/>
                <w:szCs w:val="24"/>
              </w:rPr>
              <w:t>PID</w:t>
            </w:r>
            <w:r>
              <w:rPr>
                <w:rFonts w:hint="eastAsia"/>
                <w:sz w:val="24"/>
                <w:szCs w:val="24"/>
              </w:rPr>
              <w:t>脉间反馈控制算法（</w:t>
            </w:r>
            <w:r>
              <w:rPr>
                <w:sz w:val="24"/>
                <w:szCs w:val="24"/>
              </w:rPr>
              <w:t>IQ</w:t>
            </w:r>
            <w:r>
              <w:rPr>
                <w:rFonts w:hint="eastAsia"/>
                <w:sz w:val="24"/>
                <w:szCs w:val="24"/>
              </w:rPr>
              <w:t>闭环或幅度开环</w:t>
            </w:r>
            <w:r>
              <w:rPr>
                <w:sz w:val="24"/>
                <w:szCs w:val="24"/>
              </w:rPr>
              <w:t>+</w:t>
            </w:r>
            <w:r>
              <w:rPr>
                <w:rFonts w:hint="eastAsia"/>
                <w:sz w:val="24"/>
                <w:szCs w:val="24"/>
              </w:rPr>
              <w:t>相位闭环模式可切换）。应包含前馈算法实现脉冲压缩器的正常工作。</w:t>
            </w:r>
          </w:p>
          <w:p w14:paraId="219DF2C9">
            <w:pPr>
              <w:widowControl/>
              <w:ind w:left="210" w:left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三、服务要求</w:t>
            </w:r>
          </w:p>
          <w:p w14:paraId="2DC6A82C"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0" w:left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报价应包含供应商在用户指定现场培训服务不小于7日的人员费用。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61CB0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b/>
                <w:bCs/>
                <w:sz w:val="24"/>
                <w:szCs w:val="24"/>
              </w:rPr>
              <w:t>交货期</w:t>
            </w:r>
            <w:r>
              <w:rPr>
                <w:rFonts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合同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eastAsia"/>
                <w:sz w:val="24"/>
                <w:szCs w:val="24"/>
              </w:rPr>
              <w:t>后3个月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内</w:t>
            </w:r>
          </w:p>
          <w:p w14:paraId="55F0512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交付进度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24"/>
              </w:rPr>
              <w:t>次性交付</w:t>
            </w:r>
          </w:p>
          <w:p w14:paraId="2C9C9D78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付款方式</w:t>
            </w:r>
            <w:r>
              <w:rPr>
                <w:rFonts w:hint="eastAsia"/>
                <w:sz w:val="24"/>
                <w:szCs w:val="24"/>
              </w:rPr>
              <w:t>：合同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eastAsia"/>
                <w:sz w:val="24"/>
                <w:szCs w:val="24"/>
              </w:rPr>
              <w:t>后预付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合同总金额的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0%，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出厂测试</w:t>
            </w:r>
            <w:r>
              <w:rPr>
                <w:rFonts w:hint="eastAsia"/>
                <w:sz w:val="24"/>
                <w:szCs w:val="24"/>
              </w:rPr>
              <w:t>合格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/>
                <w:sz w:val="24"/>
                <w:szCs w:val="24"/>
              </w:rPr>
              <w:t>到货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付</w:t>
            </w:r>
            <w:r>
              <w:rPr>
                <w:rFonts w:hint="eastAsia"/>
                <w:sz w:val="24"/>
                <w:szCs w:val="24"/>
              </w:rPr>
              <w:t>60%合同款</w:t>
            </w:r>
            <w:r>
              <w:rPr>
                <w:rFonts w:hint="eastAsia"/>
                <w:sz w:val="24"/>
                <w:szCs w:val="24"/>
                <w:lang w:eastAsia="zh-CN"/>
              </w:rPr>
              <w:t>，现场调试合格后付10%尾款。</w:t>
            </w:r>
          </w:p>
          <w:p w14:paraId="2629B7C7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验收指标及验收要求：</w:t>
            </w:r>
            <w:r>
              <w:rPr>
                <w:sz w:val="24"/>
                <w:szCs w:val="24"/>
              </w:rPr>
              <w:t xml:space="preserve"> </w:t>
            </w:r>
          </w:p>
          <w:p w14:paraId="780B052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要求提供以外的所有参数的出厂测试报告；现场调试除需满足约定的所有软件功能外，还需满足加速管老炼所需的功能。</w:t>
            </w:r>
          </w:p>
          <w:p w14:paraId="0D108474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保修</w:t>
            </w:r>
            <w:r>
              <w:rPr>
                <w:b/>
                <w:bCs/>
                <w:sz w:val="24"/>
                <w:szCs w:val="24"/>
              </w:rPr>
              <w:t>及售后服务</w:t>
            </w:r>
            <w:r>
              <w:rPr>
                <w:rFonts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服务网点不限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电话支持7x24小时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服务年限五年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服务时限报修后8小时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保修期两年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87DDEA5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541464A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8857820"/>
    <w:p w14:paraId="4D17D423"/>
    <w:p w14:paraId="7C86B3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740E3C"/>
    <w:multiLevelType w:val="multilevel"/>
    <w:tmpl w:val="30740E3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FF9379E"/>
    <w:multiLevelType w:val="multilevel"/>
    <w:tmpl w:val="4FF9379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F67308F"/>
    <w:multiLevelType w:val="multilevel"/>
    <w:tmpl w:val="5F67308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615D7B30"/>
    <w:multiLevelType w:val="multilevel"/>
    <w:tmpl w:val="615D7B3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90906"/>
    <w:rsid w:val="60BC0DF4"/>
    <w:rsid w:val="74C90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2026-01-14T08:49:00Z</dcterms:created>
  <dc:creator>DELL</dc:creator>
  <cp:lastModifiedBy>DELL</cp:lastModifiedBy>
  <dcterms:modified xsi:type="dcterms:W3CDTF">2026-01-14T08:57:38Z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3CDFC9C4E03C4FAE936FE33DDBA2B9C5_11</vt:lpwstr>
  </property>
  <property fmtid="{D5CDD505-2E9C-101B-9397-08002B2CF9AE}" pid="4" name="KSOTemplateDocerSaveRecord">
    <vt:lpwstr>eyJoZGlkIjoiN2RmNGQ2MDc0ZGFiNmIyNjNmMmJiNzcxMzg1OWQzY2YifQ==</vt:lpwstr>
  </property>
</Properties>
</file>