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动态信号采集设备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6EC4C07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高精度动态信号采集模块（</w:t>
            </w:r>
            <w:r>
              <w:rPr>
                <w:rFonts w:ascii="宋体" w:hAnsi="宋体" w:cs="宋体"/>
                <w:b/>
                <w:bCs/>
                <w:szCs w:val="21"/>
              </w:rPr>
              <w:t>19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个）</w:t>
            </w:r>
          </w:p>
          <w:p w14:paraId="00A760A3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通道与量程：≧4个模拟量输入通道，具备通道间同步采样能力，通道输入电压满量程范围±1～±</w:t>
            </w:r>
            <w:r>
              <w:rPr>
                <w:rFonts w:ascii="宋体" w:hAnsi="宋体" w:cs="宋体"/>
                <w:bCs/>
                <w:szCs w:val="21"/>
              </w:rPr>
              <w:t>5</w:t>
            </w:r>
            <w:r>
              <w:rPr>
                <w:rFonts w:hint="eastAsia" w:ascii="宋体" w:hAnsi="宋体" w:cs="宋体"/>
                <w:bCs/>
                <w:szCs w:val="21"/>
              </w:rPr>
              <w:t xml:space="preserve"> </w:t>
            </w:r>
            <w:r>
              <w:rPr>
                <w:rFonts w:ascii="宋体" w:hAnsi="宋体" w:cs="宋体"/>
                <w:bCs/>
                <w:szCs w:val="21"/>
              </w:rPr>
              <w:t>V</w:t>
            </w:r>
            <w:r>
              <w:rPr>
                <w:rFonts w:hint="eastAsia" w:ascii="宋体" w:hAnsi="宋体" w:cs="宋体"/>
                <w:bCs/>
                <w:szCs w:val="21"/>
              </w:rPr>
              <w:t>可调；</w:t>
            </w:r>
          </w:p>
          <w:p w14:paraId="6E108AA0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/>
                <w:bCs/>
                <w:szCs w:val="21"/>
              </w:rPr>
              <w:t>ADC</w:t>
            </w:r>
            <w:r>
              <w:rPr>
                <w:rFonts w:hint="eastAsia" w:ascii="宋体" w:hAnsi="宋体" w:cs="宋体"/>
                <w:bCs/>
                <w:szCs w:val="21"/>
              </w:rPr>
              <w:t>分辨率：模数转换器(ADC)分辨率≧24 位；</w:t>
            </w:r>
          </w:p>
          <w:p w14:paraId="4ECFFE4F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动态范围：无杂散动态范围（SFDR）≧1</w:t>
            </w:r>
            <w:r>
              <w:rPr>
                <w:rFonts w:ascii="宋体" w:hAnsi="宋体" w:cs="宋体"/>
                <w:bCs/>
                <w:szCs w:val="21"/>
              </w:rPr>
              <w:t>20</w:t>
            </w:r>
            <w:r>
              <w:rPr>
                <w:rFonts w:hint="eastAsia" w:ascii="宋体" w:hAnsi="宋体" w:cs="宋体"/>
                <w:bCs/>
                <w:szCs w:val="21"/>
              </w:rPr>
              <w:t>d</w:t>
            </w:r>
            <w:r>
              <w:rPr>
                <w:rFonts w:ascii="宋体" w:hAnsi="宋体" w:cs="宋体"/>
                <w:bCs/>
                <w:szCs w:val="21"/>
              </w:rPr>
              <w:t>B</w:t>
            </w:r>
            <w:r>
              <w:rPr>
                <w:rFonts w:hint="eastAsia" w:ascii="宋体" w:hAnsi="宋体" w:cs="宋体"/>
                <w:bCs/>
                <w:szCs w:val="21"/>
              </w:rPr>
              <w:t>；</w:t>
            </w:r>
          </w:p>
          <w:p w14:paraId="41B80A55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IEPE/ICP 恒流激励：提供专用于 IEPE/ICP 型传感器的恒流激励源，各通道可通过软件独立控制开启或关闭，激励电流不小于 2.0 mA；</w:t>
            </w:r>
          </w:p>
          <w:p w14:paraId="032E2087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信号调理：支持通过软件为各通道独立选择 AC（交流）或 DC（直流）耦合；</w:t>
            </w:r>
          </w:p>
          <w:p w14:paraId="46AD0B22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 xml:space="preserve">环境适应与过压保护：工作温度范围满足 </w:t>
            </w:r>
            <w:r>
              <w:rPr>
                <w:rFonts w:ascii="宋体" w:hAnsi="宋体" w:cs="宋体"/>
                <w:bCs/>
                <w:szCs w:val="21"/>
              </w:rPr>
              <w:t>0</w:t>
            </w:r>
            <w:r>
              <w:rPr>
                <w:rFonts w:hint="eastAsia" w:ascii="宋体" w:hAnsi="宋体" w:cs="宋体"/>
                <w:bCs/>
                <w:szCs w:val="21"/>
              </w:rPr>
              <w:t xml:space="preserve">°C 至 </w:t>
            </w:r>
            <w:r>
              <w:rPr>
                <w:rFonts w:ascii="宋体" w:hAnsi="宋体" w:cs="宋体"/>
                <w:bCs/>
                <w:szCs w:val="21"/>
              </w:rPr>
              <w:t>50</w:t>
            </w:r>
            <w:r>
              <w:rPr>
                <w:rFonts w:hint="eastAsia" w:ascii="宋体" w:hAnsi="宋体" w:cs="宋体"/>
                <w:bCs/>
                <w:szCs w:val="21"/>
              </w:rPr>
              <w:t>°C，输入通道必须能承受至少 ±30 V 的过电压冲击而不损坏硬件；</w:t>
            </w:r>
          </w:p>
          <w:p w14:paraId="28777589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系统集成：模块在物理封装尺寸、电气引脚分布及背板通信协议上，必须与本项目采购的“信号采集机箱”实现完全原生兼容，且支持直接插拔使用；</w:t>
            </w:r>
          </w:p>
          <w:p w14:paraId="48CBCD7C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高精度计数器测量模块（1个）</w:t>
            </w:r>
          </w:p>
          <w:p w14:paraId="1604AB47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通道数量：≧ 8 个独立的高速计数器输入通道，内部计数器测量分辨率不低于 32 位</w:t>
            </w:r>
          </w:p>
          <w:p w14:paraId="19988A90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测速与高频缓冲采样：支持进行连续数据流波形采样，最大采样率不低于 10</w:t>
            </w:r>
            <w:r>
              <w:rPr>
                <w:rFonts w:ascii="宋体" w:hAnsi="宋体" w:cs="宋体"/>
                <w:bCs/>
                <w:szCs w:val="21"/>
              </w:rPr>
              <w:t>0</w:t>
            </w:r>
            <w:r>
              <w:rPr>
                <w:rFonts w:hint="eastAsia" w:ascii="宋体" w:hAnsi="宋体" w:cs="宋体"/>
                <w:bCs/>
                <w:szCs w:val="21"/>
              </w:rPr>
              <w:t xml:space="preserve"> kHz；</w:t>
            </w:r>
          </w:p>
          <w:p w14:paraId="4B794A43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系统集成：模块在物理封装尺寸、电气引脚分布及背板通信协议上，必须与本项目采购的“信号采集机箱”实现完全原生兼容，且支持直接插拔使用；</w:t>
            </w:r>
          </w:p>
          <w:p w14:paraId="4485F878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高速数字信号采集模块（1个）</w:t>
            </w:r>
          </w:p>
          <w:p w14:paraId="7C859252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通道与量程：≧6 个独立高速数字输入通道，单通道电压输入量程兼容 ±5V至24V；</w:t>
            </w:r>
          </w:p>
          <w:p w14:paraId="6A01ED8B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采集速率：输入端更新时间≤ 1μ</w:t>
            </w:r>
            <w:r>
              <w:rPr>
                <w:rFonts w:ascii="宋体" w:hAnsi="宋体" w:cs="宋体"/>
                <w:bCs/>
                <w:szCs w:val="21"/>
              </w:rPr>
              <w:t>s</w:t>
            </w:r>
            <w:r>
              <w:rPr>
                <w:rFonts w:hint="eastAsia" w:ascii="宋体" w:hAnsi="宋体" w:cs="宋体"/>
                <w:bCs/>
                <w:szCs w:val="21"/>
              </w:rPr>
              <w:t>；</w:t>
            </w:r>
          </w:p>
          <w:p w14:paraId="5CC31F8E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系统集成：必须与本项目配套采购的“信号采集机箱”实现完全原生兼容及直接插拔；</w:t>
            </w:r>
          </w:p>
          <w:p w14:paraId="3E827E41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分布式数据采集机箱（</w:t>
            </w:r>
            <w:r>
              <w:rPr>
                <w:rFonts w:ascii="宋体" w:hAnsi="宋体" w:cs="宋体"/>
                <w:b/>
                <w:bCs/>
                <w:szCs w:val="21"/>
              </w:rPr>
              <w:t>3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个）</w:t>
            </w:r>
          </w:p>
          <w:p w14:paraId="72258885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 xml:space="preserve">物理架构与网络拓扑：机箱需提供至少7个用于安装高精度数据采集模块的插槽，集成2个千兆以太网端口，通过网络实现多机箱同步采集； </w:t>
            </w:r>
          </w:p>
          <w:p w14:paraId="24F35B04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时间同步：采集机箱支持PTP网络时间同步协议或者WR时间同步协议，多机箱之间可以通过网络实现同步触发采集，采集时钟偏差优于10</w:t>
            </w:r>
            <w:r>
              <w:rPr>
                <w:rFonts w:ascii="宋体" w:hAnsi="宋体" w:cs="宋体"/>
                <w:bCs/>
                <w:szCs w:val="21"/>
              </w:rPr>
              <w:t>0</w:t>
            </w:r>
            <w:r>
              <w:rPr>
                <w:rFonts w:hint="eastAsia" w:ascii="宋体" w:hAnsi="宋体" w:cs="宋体"/>
                <w:bCs/>
                <w:szCs w:val="21"/>
              </w:rPr>
              <w:t>ns（以10MHz参考时钟信号为准）；</w:t>
            </w:r>
          </w:p>
          <w:p w14:paraId="414CCA9E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 xml:space="preserve">环境适应性：在 10 Hz 至 500 Hz 频率范围内，承受不低于 1 g RMS 的持续随机振动而不影响数据正常采集，工作温度范围满足 </w:t>
            </w:r>
            <w:r>
              <w:rPr>
                <w:rFonts w:ascii="宋体" w:hAnsi="宋体" w:cs="宋体"/>
                <w:bCs/>
                <w:szCs w:val="21"/>
              </w:rPr>
              <w:t>0</w:t>
            </w:r>
            <w:r>
              <w:rPr>
                <w:rFonts w:hint="eastAsia" w:ascii="宋体" w:hAnsi="宋体" w:cs="宋体"/>
                <w:bCs/>
                <w:szCs w:val="21"/>
              </w:rPr>
              <w:t xml:space="preserve">°C 至 </w:t>
            </w:r>
            <w:r>
              <w:rPr>
                <w:rFonts w:ascii="宋体" w:hAnsi="宋体" w:cs="宋体"/>
                <w:bCs/>
                <w:szCs w:val="21"/>
              </w:rPr>
              <w:t>50</w:t>
            </w:r>
            <w:r>
              <w:rPr>
                <w:rFonts w:hint="eastAsia" w:ascii="宋体" w:hAnsi="宋体" w:cs="宋体"/>
                <w:bCs/>
                <w:szCs w:val="21"/>
              </w:rPr>
              <w:t>°C；</w:t>
            </w:r>
          </w:p>
          <w:p w14:paraId="7390C434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软件兼容性与正版授权：支持采用LabVIEW图形化设计软件进行二次开发，采集机箱能被 LabVIEW 驱动程序（API）直接识别和调用；</w:t>
            </w:r>
          </w:p>
          <w:p w14:paraId="5B0BBC9A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系统软件开发：根据振动监测需求，在采集机箱交付时以U盘形式交付一套测试用</w:t>
            </w:r>
            <w:r>
              <w:rPr>
                <w:rFonts w:ascii="宋体" w:hAnsi="宋体" w:cs="宋体"/>
                <w:bCs/>
                <w:szCs w:val="21"/>
              </w:rPr>
              <w:t>系统软件</w:t>
            </w:r>
            <w:r>
              <w:rPr>
                <w:rFonts w:hint="eastAsia" w:ascii="宋体" w:hAnsi="宋体" w:cs="宋体"/>
                <w:bCs/>
                <w:szCs w:val="21"/>
              </w:rPr>
              <w:t>并提供完整、无加密的工程源码，程序</w:t>
            </w:r>
            <w:r>
              <w:rPr>
                <w:rFonts w:ascii="宋体" w:hAnsi="宋体" w:cs="宋体"/>
                <w:bCs/>
                <w:szCs w:val="21"/>
              </w:rPr>
              <w:t>采用 Python或 LabVIEW进行全栈</w:t>
            </w:r>
            <w:r>
              <w:rPr>
                <w:rFonts w:hint="eastAsia" w:ascii="宋体" w:hAnsi="宋体" w:cs="宋体"/>
                <w:bCs/>
                <w:szCs w:val="21"/>
              </w:rPr>
              <w:t>开发，需完成以下测试功能模块的开发：</w:t>
            </w:r>
          </w:p>
          <w:p w14:paraId="4677AE9C">
            <w:pPr>
              <w:pStyle w:val="11"/>
              <w:numPr>
                <w:ilvl w:val="2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多通道信号采集、配置及同屏对比显示功能；</w:t>
            </w:r>
          </w:p>
          <w:p w14:paraId="0930C3B9">
            <w:pPr>
              <w:pStyle w:val="11"/>
              <w:numPr>
                <w:ilvl w:val="2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信号实时波形、功率谱密度（PSD）以及1/3倍频程VC等级分析及显示；</w:t>
            </w:r>
          </w:p>
          <w:p w14:paraId="2FE7422D">
            <w:pPr>
              <w:pStyle w:val="11"/>
              <w:numPr>
                <w:ilvl w:val="2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历史数据查询、导出及每日报表生成；</w:t>
            </w:r>
          </w:p>
          <w:p w14:paraId="2D534668">
            <w:pPr>
              <w:pStyle w:val="11"/>
              <w:numPr>
                <w:ilvl w:val="2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测点状态监测及报警功能；</w:t>
            </w:r>
          </w:p>
          <w:p w14:paraId="3B50DAEC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便携式振动信号采集仪（1台）</w:t>
            </w:r>
          </w:p>
          <w:p w14:paraId="77C66909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通道数量：提供≧ 8个电压/IEPE输入通道，支持标准BNC接口；</w:t>
            </w:r>
          </w:p>
          <w:p w14:paraId="59657F55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精度与动态范围：模数转换器分辨率≥24 位，设备无杂散动态范围（SFDR）需达到或优于1</w:t>
            </w:r>
            <w:r>
              <w:rPr>
                <w:rFonts w:ascii="宋体" w:hAnsi="宋体" w:cs="宋体"/>
                <w:bCs/>
                <w:szCs w:val="21"/>
              </w:rPr>
              <w:t>2</w:t>
            </w:r>
            <w:r>
              <w:rPr>
                <w:rFonts w:hint="eastAsia" w:ascii="宋体" w:hAnsi="宋体" w:cs="宋体"/>
                <w:bCs/>
                <w:szCs w:val="21"/>
              </w:rPr>
              <w:t>0 dB；</w:t>
            </w:r>
          </w:p>
          <w:p w14:paraId="12762BF8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供电与续航： 需支持外部直流供电及内置锂电池供电，内部电池供电续航≥6小时；</w:t>
            </w:r>
          </w:p>
          <w:p w14:paraId="5701D84C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采集软件：配备专用的信号采集与分析软件，具备参数设置、波形采集记录及实时的频域信号在线分析等功能；</w:t>
            </w:r>
          </w:p>
          <w:p w14:paraId="2469773E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尺寸及重量：采集仪主机长宽高尺寸需 ≤ 250 mm × 150 mm × 50 mm，含电池总重量 ≤ 2 Kg，以满足现场巡检需求；</w:t>
            </w:r>
          </w:p>
          <w:p w14:paraId="155A730B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调试笔记本（1台）</w:t>
            </w:r>
          </w:p>
          <w:p w14:paraId="6026BCAA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处理器CPU：物理核心数不少于 8 核，逻辑线程数不少于 16 线程，最高加速时钟频率不低于 5.2 GHz</w:t>
            </w:r>
          </w:p>
          <w:p w14:paraId="4920BE64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显卡GPU: 独立显存容量不低于 8GB, GDDR6 或更优规格</w:t>
            </w:r>
          </w:p>
          <w:p w14:paraId="0834ED1B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内存：不低于DDR5 5600MHz 32GB</w:t>
            </w:r>
          </w:p>
          <w:p w14:paraId="1ADDF4DB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存储：NVMe PCIe 协议固态硬盘不低于 1TB</w:t>
            </w:r>
          </w:p>
          <w:p w14:paraId="19E153AA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上位机（2台）</w:t>
            </w:r>
          </w:p>
          <w:p w14:paraId="1FA6D5EA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处理器CPU：物理核心数不少于</w:t>
            </w:r>
            <w:r>
              <w:rPr>
                <w:rFonts w:ascii="宋体" w:hAnsi="宋体" w:cs="宋体"/>
                <w:bCs/>
                <w:szCs w:val="21"/>
              </w:rPr>
              <w:t>24</w:t>
            </w:r>
            <w:r>
              <w:rPr>
                <w:rFonts w:hint="eastAsia" w:ascii="宋体" w:hAnsi="宋体" w:cs="宋体"/>
                <w:bCs/>
                <w:szCs w:val="21"/>
              </w:rPr>
              <w:t>核，基础频率不低于 3.2 GHz</w:t>
            </w:r>
          </w:p>
          <w:p w14:paraId="5E6943FA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 xml:space="preserve">显卡GPU: 独立显存容量不低于 </w:t>
            </w:r>
            <w:r>
              <w:rPr>
                <w:rFonts w:ascii="宋体" w:hAnsi="宋体" w:cs="宋体"/>
                <w:bCs/>
                <w:szCs w:val="21"/>
              </w:rPr>
              <w:t>16</w:t>
            </w:r>
            <w:r>
              <w:rPr>
                <w:rFonts w:hint="eastAsia" w:ascii="宋体" w:hAnsi="宋体" w:cs="宋体"/>
                <w:bCs/>
                <w:szCs w:val="21"/>
              </w:rPr>
              <w:t>GB, GDDR6</w:t>
            </w:r>
          </w:p>
          <w:p w14:paraId="0761C316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 xml:space="preserve">内存：不低于DDR5 5600MHz </w:t>
            </w:r>
            <w:r>
              <w:rPr>
                <w:rFonts w:ascii="宋体" w:hAnsi="宋体" w:cs="宋体"/>
                <w:bCs/>
                <w:szCs w:val="21"/>
              </w:rPr>
              <w:t>64</w:t>
            </w:r>
            <w:r>
              <w:rPr>
                <w:rFonts w:hint="eastAsia" w:ascii="宋体" w:hAnsi="宋体" w:cs="宋体"/>
                <w:bCs/>
                <w:szCs w:val="21"/>
              </w:rPr>
              <w:t>GB</w:t>
            </w:r>
          </w:p>
          <w:p w14:paraId="61CC8404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存储阵列：不少于 1 块 512GB 的 M.2 PCIe Gen4 NVMe 协议专业级固态硬盘，同时配置不少于1块8TB容量的3.5英寸SATA机械硬盘，转速不低于7200RPM，缓存不低于 256MB</w:t>
            </w:r>
          </w:p>
          <w:p w14:paraId="34346E6A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直流电源（4个）</w:t>
            </w:r>
          </w:p>
          <w:p w14:paraId="0CE0D264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输出电压范围：</w:t>
            </w:r>
            <w:r>
              <w:rPr>
                <w:rFonts w:ascii="宋体" w:hAnsi="宋体" w:cs="宋体"/>
                <w:bCs/>
                <w:szCs w:val="21"/>
              </w:rPr>
              <w:t>0-30</w:t>
            </w:r>
            <w:r>
              <w:rPr>
                <w:rFonts w:hint="eastAsia" w:ascii="宋体" w:hAnsi="宋体" w:cs="宋体"/>
                <w:bCs/>
                <w:szCs w:val="21"/>
              </w:rPr>
              <w:t>V连续可调</w:t>
            </w:r>
          </w:p>
          <w:p w14:paraId="4756648D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输出电流范围：0</w:t>
            </w:r>
            <w:r>
              <w:rPr>
                <w:rFonts w:ascii="宋体" w:hAnsi="宋体" w:cs="宋体"/>
                <w:bCs/>
                <w:szCs w:val="21"/>
              </w:rPr>
              <w:t>-10</w:t>
            </w:r>
            <w:r>
              <w:rPr>
                <w:rFonts w:hint="eastAsia" w:ascii="宋体" w:hAnsi="宋体" w:cs="宋体"/>
                <w:bCs/>
                <w:szCs w:val="21"/>
              </w:rPr>
              <w:t>A连续可调</w:t>
            </w:r>
          </w:p>
          <w:p w14:paraId="30842646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设定值精度：电压0.1%，电流0.1%</w:t>
            </w:r>
          </w:p>
          <w:p w14:paraId="35BF01D8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尺寸及重量：长宽高尺寸</w:t>
            </w:r>
            <w:r>
              <w:rPr>
                <w:rFonts w:ascii="宋体" w:hAnsi="宋体" w:cs="宋体"/>
                <w:bCs/>
                <w:szCs w:val="21"/>
              </w:rPr>
              <w:t>200mm×100mm×150 mm</w:t>
            </w:r>
            <w:r>
              <w:rPr>
                <w:rFonts w:hint="eastAsia" w:ascii="宋体" w:hAnsi="宋体" w:cs="宋体"/>
                <w:bCs/>
                <w:szCs w:val="21"/>
              </w:rPr>
              <w:t>，重量≤ 2.0 Kg</w:t>
            </w:r>
          </w:p>
          <w:p w14:paraId="42C08143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传感器安装模块（3</w:t>
            </w:r>
            <w:r>
              <w:rPr>
                <w:rFonts w:ascii="宋体" w:hAnsi="宋体" w:cs="宋体"/>
                <w:b/>
                <w:bCs/>
                <w:szCs w:val="21"/>
              </w:rPr>
              <w:t>3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个）</w:t>
            </w:r>
          </w:p>
          <w:p w14:paraId="19F74DAC">
            <w:pPr>
              <w:pStyle w:val="11"/>
              <w:numPr>
                <w:ilvl w:val="1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不锈钢或航空铝合金材质，预留标准安装螺纹孔</w:t>
            </w:r>
            <w:r>
              <w:rPr>
                <w:rFonts w:ascii="宋体" w:hAnsi="宋体" w:cs="宋体"/>
                <w:bCs/>
                <w:szCs w:val="21"/>
              </w:rPr>
              <w:t>,</w:t>
            </w:r>
            <w:r>
              <w:rPr>
                <w:rFonts w:hint="eastAsia" w:ascii="宋体" w:hAnsi="宋体" w:cs="宋体"/>
                <w:bCs/>
                <w:szCs w:val="21"/>
              </w:rPr>
              <w:t>适配磁电式速度传感器、压电式加速度计以及 1/2 英寸标准自由场传声器的机械连接接口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9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合同签订后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个月内。</w:t>
            </w:r>
          </w:p>
          <w:p w14:paraId="4F766029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合同签订后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个月内一次性交付。</w:t>
            </w:r>
          </w:p>
          <w:p w14:paraId="1263B4E5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合同签订后2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个工作日内甲方预付3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%合同款。到货验收合格后，由乙方开具发票，甲方在3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个工作日内支付剩余7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%货款。</w:t>
            </w:r>
          </w:p>
          <w:p w14:paraId="50609E60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</w:p>
          <w:p w14:paraId="19ABDFDF">
            <w:pPr>
              <w:pStyle w:val="11"/>
              <w:numPr>
                <w:ilvl w:val="0"/>
                <w:numId w:val="2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精度动态信号采集模块、高精度计数器测量模块、高速数字信号采集模块、分布式数据采集机箱、便携式振动信号采集仪、计算机（上位机及调试笔记本）、直流电源及传感器安装模块等所有硬件组件，须在到货后进行现场开箱验收，由采供双方共同清点确认设备型号、数量及外观完好性，并提供产品合格证；</w:t>
            </w:r>
          </w:p>
          <w:p w14:paraId="0929A91E">
            <w:pPr>
              <w:pStyle w:val="11"/>
              <w:numPr>
                <w:ilvl w:val="0"/>
                <w:numId w:val="2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对于通道量程、ADC分辨率、最大采样率、动态范围（SFDR）、时间同步精度等核心硬件性能指标，供应商须提供设备原厂出具的出厂检测报告作为验收依据；</w:t>
            </w:r>
          </w:p>
          <w:p w14:paraId="48151AE4">
            <w:pPr>
              <w:pStyle w:val="11"/>
              <w:numPr>
                <w:ilvl w:val="0"/>
                <w:numId w:val="2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现场运行并验证系统测试软件，确认其满足多通道同步采集、PSD频谱分析、状态报警及报表生成等各项功能要求，并现场以U盘形式交付完整、无加密的工程源代码后，完成最终验收。</w:t>
            </w:r>
          </w:p>
          <w:p w14:paraId="00378417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档案要求：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提供出厂检定报告、产品合格证。</w:t>
            </w:r>
          </w:p>
          <w:p w14:paraId="4224683F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厂家对所提供设备的免费保修期为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年，同时提供终身服务。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5D33F3"/>
    <w:multiLevelType w:val="multilevel"/>
    <w:tmpl w:val="035D33F3"/>
    <w:lvl w:ilvl="0" w:tentative="0">
      <w:start w:val="1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bullet"/>
      <w:lvlText w:val=""/>
      <w:lvlJc w:val="left"/>
      <w:pPr>
        <w:ind w:left="1418" w:hanging="567"/>
      </w:pPr>
      <w:rPr>
        <w:rFonts w:hint="default" w:ascii="Wingdings" w:hAnsi="Wingdings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4F8A20D9"/>
    <w:multiLevelType w:val="multilevel"/>
    <w:tmpl w:val="4F8A20D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16BA6814"/>
    <w:rsid w:val="2D070EC5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434</Words>
  <Characters>486</Characters>
  <Lines>4</Lines>
  <Paragraphs>1</Paragraphs>
  <TotalTime>1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2026-07-15T09:02:27Z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