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配气气路系统气体控制柜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D6EAD7F">
            <w:pPr>
              <w:ind w:firstLine="240" w:firstLineChars="10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本项目配气气路系统气体控制柜</w:t>
            </w:r>
            <w:r>
              <w:rPr>
                <w:bCs/>
                <w:sz w:val="24"/>
              </w:rPr>
              <w:t>共计17套</w:t>
            </w:r>
            <w:r>
              <w:rPr>
                <w:rFonts w:hint="eastAsia"/>
                <w:bCs/>
                <w:sz w:val="24"/>
              </w:rPr>
              <w:t>，包含7套氧化性气体气柜、6套可燃气体气柜、4套腐蚀气体气柜。每套</w:t>
            </w:r>
            <w:r>
              <w:rPr>
                <w:bCs/>
                <w:sz w:val="24"/>
              </w:rPr>
              <w:t>采用</w:t>
            </w:r>
            <w:r>
              <w:rPr>
                <w:rFonts w:hint="eastAsia"/>
                <w:bCs/>
                <w:sz w:val="24"/>
              </w:rPr>
              <w:t>8升</w:t>
            </w:r>
            <w:r>
              <w:rPr>
                <w:bCs/>
                <w:sz w:val="24"/>
              </w:rPr>
              <w:t>双瓶</w:t>
            </w:r>
            <w:r>
              <w:rPr>
                <w:rFonts w:hint="eastAsia"/>
                <w:bCs/>
                <w:sz w:val="24"/>
              </w:rPr>
              <w:t>双路</w:t>
            </w:r>
            <w:r>
              <w:rPr>
                <w:bCs/>
                <w:sz w:val="24"/>
              </w:rPr>
              <w:t>独立供气架构，两路气路完全独立、</w:t>
            </w:r>
            <w:r>
              <w:rPr>
                <w:rFonts w:hint="eastAsia"/>
                <w:bCs/>
                <w:sz w:val="24"/>
              </w:rPr>
              <w:t>互不干扰，设备柜体采用优质碳钢材质，整体一体化外壳工艺，柜体表面平整光滑、色泽均匀，具备防腐、防锈、抗变形、耐老化的特性，可长期复杂工况使用。柜体标配高强度一体式气瓶固定支架，结构稳固牢靠，可有效规避气瓶偏移、倾倒风险，底部万向轮，可进行固定/移动，方便人员操作，保障设备运行安全。</w:t>
            </w:r>
          </w:p>
          <w:p w14:paraId="4B480F6C"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设备核心配件包含调压阀，控制隔膜阀、单向阀、高压盘管、高精度压力表等，所有阀件材质、规格型号均严格匹配特种气体理化性质，适配高纯气体输送标准；每套特气柜均搭载气体泄漏监测报警功能，可24小时实时在线监测气路泄漏情况。</w:t>
            </w:r>
          </w:p>
          <w:p w14:paraId="26848A03">
            <w:pPr>
              <w:tabs>
                <w:tab w:val="left" w:pos="6915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参数及精度要求</w:t>
            </w:r>
          </w:p>
          <w:p w14:paraId="45AF5E85">
            <w:pPr>
              <w:numPr>
                <w:ilvl w:val="0"/>
                <w:numId w:val="1"/>
              </w:numPr>
              <w:tabs>
                <w:tab w:val="left" w:pos="6915"/>
              </w:tabs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所有柜体尺寸: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长≤850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mm，宽≤550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mm；高≤</w:t>
            </w:r>
            <w:r>
              <w:rPr>
                <w:bCs/>
                <w:sz w:val="24"/>
              </w:rPr>
              <w:t>12</w:t>
            </w:r>
            <w:r>
              <w:rPr>
                <w:rFonts w:hint="eastAsia"/>
                <w:bCs/>
                <w:sz w:val="24"/>
              </w:rPr>
              <w:t>00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mm</w:t>
            </w:r>
            <w:r>
              <w:rPr>
                <w:bCs/>
                <w:sz w:val="24"/>
              </w:rPr>
              <w:t xml:space="preserve">; </w:t>
            </w:r>
            <w:r>
              <w:rPr>
                <w:rFonts w:hint="eastAsia"/>
                <w:bCs/>
                <w:sz w:val="24"/>
              </w:rPr>
              <w:t>柜体厚度≥</w:t>
            </w:r>
            <w:r>
              <w:rPr>
                <w:bCs/>
                <w:sz w:val="24"/>
              </w:rPr>
              <w:t xml:space="preserve">2.0 </w:t>
            </w:r>
            <w:r>
              <w:rPr>
                <w:rFonts w:hint="eastAsia"/>
                <w:bCs/>
                <w:sz w:val="24"/>
              </w:rPr>
              <w:t>mm；观察视窗玻璃内嵌钢丝网；</w:t>
            </w:r>
          </w:p>
          <w:p w14:paraId="73C9EE74">
            <w:pPr>
              <w:numPr>
                <w:ilvl w:val="0"/>
                <w:numId w:val="1"/>
              </w:numPr>
              <w:tabs>
                <w:tab w:val="left" w:pos="6915"/>
              </w:tabs>
              <w:rPr>
                <w:bCs/>
                <w:sz w:val="24"/>
              </w:rPr>
            </w:pPr>
            <w:r>
              <w:rPr>
                <w:bCs/>
                <w:sz w:val="24"/>
              </w:rPr>
              <w:t>单台气柜</w:t>
            </w:r>
            <w:r>
              <w:rPr>
                <w:rFonts w:hint="eastAsia"/>
                <w:bCs/>
                <w:sz w:val="24"/>
              </w:rPr>
              <w:t>可以</w:t>
            </w:r>
            <w:r>
              <w:rPr>
                <w:bCs/>
                <w:sz w:val="24"/>
              </w:rPr>
              <w:t>容纳2×8 L标准气瓶；气路出口配</w:t>
            </w:r>
            <w:r>
              <w:rPr>
                <w:rFonts w:hint="eastAsia"/>
                <w:bCs/>
                <w:sz w:val="24"/>
              </w:rPr>
              <w:t>≥0</w:t>
            </w:r>
            <w:r>
              <w:rPr>
                <w:bCs/>
                <w:sz w:val="24"/>
              </w:rPr>
              <w:t xml:space="preserve">.5 </w:t>
            </w:r>
            <w:r>
              <w:rPr>
                <w:rFonts w:hint="eastAsia"/>
                <w:bCs/>
                <w:sz w:val="24"/>
              </w:rPr>
              <w:t>m</w:t>
            </w:r>
            <w:r>
              <w:rPr>
                <w:bCs/>
                <w:sz w:val="24"/>
              </w:rPr>
              <w:t>金属软管</w:t>
            </w:r>
            <w:r>
              <w:rPr>
                <w:rFonts w:hint="eastAsia"/>
                <w:bCs/>
                <w:sz w:val="24"/>
              </w:rPr>
              <w:t>/</w:t>
            </w:r>
            <w:r>
              <w:rPr>
                <w:bCs/>
                <w:sz w:val="24"/>
              </w:rPr>
              <w:t>硬管</w:t>
            </w:r>
            <w:r>
              <w:rPr>
                <w:rFonts w:hint="eastAsia"/>
                <w:bCs/>
                <w:sz w:val="24"/>
              </w:rPr>
              <w:t>；统一采用 1/4英寸接口；气路核心接触部件为SS316不锈钢；氧化性/易燃性气路内表面BA级（光亮退火），毒腐性气路内表面EP级（电解抛光）；</w:t>
            </w:r>
          </w:p>
          <w:p w14:paraId="274C02AE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特气柜须获得</w:t>
            </w:r>
            <w:r>
              <w:rPr>
                <w:rFonts w:hint="eastAsia"/>
                <w:bCs/>
                <w:sz w:val="24"/>
              </w:rPr>
              <w:t>CE、SEMI-S2及防爆合格证认证证书</w:t>
            </w:r>
            <w:r>
              <w:rPr>
                <w:bCs/>
                <w:sz w:val="24"/>
              </w:rPr>
              <w:t>，并提供报告；</w:t>
            </w:r>
          </w:p>
          <w:p w14:paraId="24CDC5B0">
            <w:pPr>
              <w:numPr>
                <w:ilvl w:val="0"/>
                <w:numId w:val="1"/>
              </w:numPr>
              <w:tabs>
                <w:tab w:val="left" w:pos="6915"/>
              </w:tabs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所有气柜配置</w:t>
            </w:r>
            <w:r>
              <w:rPr>
                <w:bCs/>
                <w:sz w:val="24"/>
              </w:rPr>
              <w:t>双一级减压阀，</w:t>
            </w:r>
            <w:r>
              <w:rPr>
                <w:rFonts w:hint="eastAsia"/>
                <w:bCs/>
                <w:sz w:val="24"/>
              </w:rPr>
              <w:t>减压阀需满足：</w:t>
            </w:r>
            <w:r>
              <w:rPr>
                <w:bCs/>
                <w:sz w:val="24"/>
              </w:rPr>
              <w:t>最大输入压力≥20 MPa，输出压力稳定可控</w:t>
            </w:r>
            <w:r>
              <w:rPr>
                <w:rFonts w:hint="eastAsia"/>
                <w:bCs/>
                <w:sz w:val="24"/>
              </w:rPr>
              <w:t>；根据《GB/T12244-2006》（减压阀性能测试方法）取得气密性测试报告：试验压力≥20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M</w:t>
            </w:r>
            <w:r>
              <w:rPr>
                <w:bCs/>
                <w:sz w:val="24"/>
              </w:rPr>
              <w:t>P</w:t>
            </w:r>
            <w:r>
              <w:rPr>
                <w:rFonts w:hint="eastAsia"/>
                <w:bCs/>
                <w:sz w:val="24"/>
              </w:rPr>
              <w:t>a持续时间≥50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min，测试结果无泄露；</w:t>
            </w:r>
            <w:r>
              <w:rPr>
                <w:bCs/>
                <w:sz w:val="24"/>
              </w:rPr>
              <w:t>适用温度范围：-40 ℃~+60 ℃</w:t>
            </w:r>
            <w:r>
              <w:rPr>
                <w:rFonts w:hint="eastAsia"/>
                <w:bCs/>
                <w:sz w:val="24"/>
              </w:rPr>
              <w:t>，可显示进出口压力；减压阀依照GB/T 10125-2021进行盐雾试验，盐溶液浓度：50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g/L±5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g/L，</w:t>
            </w:r>
            <w:r>
              <w:rPr>
                <w:bCs/>
                <w:sz w:val="24"/>
              </w:rPr>
              <w:t xml:space="preserve">pH </w:t>
            </w:r>
            <w:r>
              <w:rPr>
                <w:rFonts w:hint="eastAsia"/>
                <w:bCs/>
                <w:sz w:val="24"/>
              </w:rPr>
              <w:t>值</w:t>
            </w:r>
            <w:r>
              <w:rPr>
                <w:bCs/>
                <w:sz w:val="24"/>
              </w:rPr>
              <w:t>: 6.5~7.2</w:t>
            </w:r>
            <w:r>
              <w:rPr>
                <w:rFonts w:hint="eastAsia"/>
                <w:bCs/>
                <w:sz w:val="24"/>
              </w:rPr>
              <w:t>，试验温度：</w:t>
            </w:r>
            <w:r>
              <w:rPr>
                <w:bCs/>
                <w:sz w:val="24"/>
              </w:rPr>
              <w:t xml:space="preserve">35 </w:t>
            </w:r>
            <w:r>
              <w:rPr>
                <w:rFonts w:hint="eastAsia"/>
                <w:bCs/>
                <w:sz w:val="24"/>
              </w:rPr>
              <w:t>℃±</w:t>
            </w:r>
            <w:r>
              <w:rPr>
                <w:bCs/>
                <w:sz w:val="24"/>
              </w:rPr>
              <w:t xml:space="preserve">2 </w:t>
            </w:r>
            <w:r>
              <w:rPr>
                <w:rFonts w:hint="eastAsia"/>
                <w:bCs/>
                <w:sz w:val="24"/>
              </w:rPr>
              <w:t>℃，试验时间≥160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h，减压阀性能正常，外观应无锈蚀并提供具有相关资质且合法的检测机构出具的带有CMA或CNAS标识的的检测报告。</w:t>
            </w:r>
          </w:p>
          <w:p w14:paraId="123B699F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隔膜阀耐压≥</w:t>
            </w:r>
            <w:r>
              <w:rPr>
                <w:bCs/>
                <w:sz w:val="24"/>
              </w:rPr>
              <w:t>20 MP</w:t>
            </w:r>
            <w:r>
              <w:rPr>
                <w:rFonts w:hint="eastAsia"/>
                <w:bCs/>
                <w:sz w:val="24"/>
              </w:rPr>
              <w:t>a</w:t>
            </w:r>
            <w:r>
              <w:rPr>
                <w:bCs/>
                <w:sz w:val="24"/>
              </w:rPr>
              <w:t>;</w:t>
            </w:r>
          </w:p>
          <w:p w14:paraId="30249EDE">
            <w:pPr>
              <w:numPr>
                <w:ilvl w:val="0"/>
                <w:numId w:val="1"/>
              </w:numPr>
              <w:tabs>
                <w:tab w:val="left" w:pos="6915"/>
              </w:tabs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腐蚀气体气柜阀门接口等级不得低于EP级VCR标准</w:t>
            </w:r>
            <w:r>
              <w:rPr>
                <w:bCs/>
                <w:sz w:val="24"/>
              </w:rPr>
              <w:t>；</w:t>
            </w:r>
          </w:p>
          <w:p w14:paraId="4FF22473">
            <w:pPr>
              <w:numPr>
                <w:ilvl w:val="0"/>
                <w:numId w:val="1"/>
              </w:numPr>
              <w:tabs>
                <w:tab w:val="left" w:pos="6915"/>
              </w:tabs>
              <w:rPr>
                <w:bCs/>
                <w:sz w:val="24"/>
              </w:rPr>
            </w:pPr>
            <w:r>
              <w:rPr>
                <w:bCs/>
                <w:sz w:val="24"/>
              </w:rPr>
              <w:t>不锈钢管路</w:t>
            </w:r>
            <w:r>
              <w:rPr>
                <w:rFonts w:hint="eastAsia"/>
                <w:bCs/>
                <w:sz w:val="24"/>
              </w:rPr>
              <w:t>需满足以下要求：</w:t>
            </w:r>
            <w:r>
              <w:rPr>
                <w:bCs/>
                <w:sz w:val="24"/>
              </w:rPr>
              <w:t>进行耐压试验，试件以不大于 34.0 MPa/min的升压速率匀速升压至25.0 MPa，至少保压</w:t>
            </w:r>
            <w:r>
              <w:rPr>
                <w:rFonts w:hint="eastAsia"/>
                <w:bCs/>
                <w:sz w:val="24"/>
              </w:rPr>
              <w:t>5</w:t>
            </w:r>
            <w:r>
              <w:rPr>
                <w:bCs/>
                <w:sz w:val="24"/>
              </w:rPr>
              <w:t xml:space="preserve"> min，应无渗漏、无永久变形并提供第三方检测机构出具的带有CMA或CNAS标识的的检测报告</w:t>
            </w:r>
            <w:r>
              <w:rPr>
                <w:rFonts w:hint="eastAsia"/>
                <w:bCs/>
                <w:sz w:val="24"/>
              </w:rPr>
              <w:t>。氧化性/易燃性气路气密性≤</w:t>
            </w:r>
            <w:r>
              <w:rPr>
                <w:bCs/>
                <w:sz w:val="24"/>
              </w:rPr>
              <w:t>1×10⁻</w:t>
            </w:r>
            <w:r>
              <w:rPr>
                <w:bCs/>
                <w:sz w:val="24"/>
                <w:vertAlign w:val="superscript"/>
              </w:rPr>
              <w:t xml:space="preserve">8 </w:t>
            </w:r>
            <w:r>
              <w:rPr>
                <w:bCs/>
                <w:sz w:val="24"/>
              </w:rPr>
              <w:t>mbar·L·s</w:t>
            </w:r>
            <w:r>
              <w:rPr>
                <w:bCs/>
                <w:sz w:val="24"/>
                <w:vertAlign w:val="superscript"/>
              </w:rPr>
              <w:t>-1</w:t>
            </w:r>
            <w:r>
              <w:rPr>
                <w:rFonts w:hint="eastAsia"/>
                <w:bCs/>
                <w:sz w:val="24"/>
              </w:rPr>
              <w:t>，毒腐性气路气密性≤</w:t>
            </w:r>
            <w:r>
              <w:rPr>
                <w:bCs/>
                <w:sz w:val="24"/>
              </w:rPr>
              <w:t>1×10⁻⁹ mbar·L·s</w:t>
            </w:r>
            <w:r>
              <w:rPr>
                <w:bCs/>
                <w:sz w:val="24"/>
                <w:vertAlign w:val="superscript"/>
              </w:rPr>
              <w:t>-1</w:t>
            </w:r>
            <w:r>
              <w:rPr>
                <w:rFonts w:hint="eastAsia"/>
                <w:bCs/>
                <w:sz w:val="24"/>
              </w:rPr>
              <w:t>。</w:t>
            </w:r>
          </w:p>
          <w:p w14:paraId="11CC87FD">
            <w:pPr>
              <w:numPr>
                <w:ilvl w:val="0"/>
                <w:numId w:val="1"/>
              </w:numPr>
              <w:tabs>
                <w:tab w:val="left" w:pos="6915"/>
              </w:tabs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气柜内泄漏报警侦测器可接入公共设施数据集成平台。</w:t>
            </w:r>
          </w:p>
          <w:p w14:paraId="4E249A0B">
            <w:pPr>
              <w:numPr>
                <w:ilvl w:val="0"/>
                <w:numId w:val="1"/>
              </w:numPr>
              <w:tabs>
                <w:tab w:val="left" w:pos="6915"/>
              </w:tabs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4"/>
              </w:rPr>
              <w:t>电化学式氨气探头：0 ppm≤测量范围≤100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ppm，报警值：≤26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ppm，≥52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 xml:space="preserve">ppm。电化学式氧气探头：0 </w:t>
            </w:r>
            <w:r>
              <w:rPr>
                <w:bCs/>
                <w:sz w:val="24"/>
              </w:rPr>
              <w:t>VOL</w:t>
            </w:r>
            <w:r>
              <w:rPr>
                <w:rFonts w:hint="eastAsia"/>
                <w:bCs/>
                <w:sz w:val="24"/>
              </w:rPr>
              <w:t>≤测量范围≤</w:t>
            </w:r>
            <w:r>
              <w:rPr>
                <w:bCs/>
                <w:sz w:val="24"/>
              </w:rPr>
              <w:t>25% VOL</w:t>
            </w:r>
            <w:r>
              <w:rPr>
                <w:rFonts w:hint="eastAsia"/>
                <w:bCs/>
                <w:sz w:val="24"/>
              </w:rPr>
              <w:t>，报警值：≤</w:t>
            </w:r>
            <w:r>
              <w:rPr>
                <w:bCs/>
                <w:sz w:val="24"/>
              </w:rPr>
              <w:t>19.5% VOL</w:t>
            </w:r>
            <w:r>
              <w:rPr>
                <w:rFonts w:hint="eastAsia"/>
                <w:bCs/>
                <w:sz w:val="24"/>
              </w:rPr>
              <w:t>，≥</w:t>
            </w:r>
            <w:r>
              <w:rPr>
                <w:bCs/>
                <w:sz w:val="24"/>
              </w:rPr>
              <w:t>23.5% VOL</w:t>
            </w:r>
            <w:r>
              <w:rPr>
                <w:rFonts w:hint="eastAsia"/>
                <w:bCs/>
                <w:sz w:val="24"/>
              </w:rPr>
              <w:t>。催化燃烧式可燃气体探头： 0≤测量范围≤100% LEL，一级报警≥25%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LEL，二级报警≥50% LEL。提供出厂检测报告。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交货期：</w:t>
            </w:r>
            <w:r>
              <w:rPr>
                <w:bCs/>
                <w:sz w:val="24"/>
              </w:rPr>
              <w:t>合同签订后3个月内交货到指定地点。</w:t>
            </w:r>
          </w:p>
          <w:p w14:paraId="379C6791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交付进度：</w:t>
            </w:r>
            <w:r>
              <w:rPr>
                <w:bCs/>
                <w:sz w:val="24"/>
              </w:rPr>
              <w:t>一次性交付。</w:t>
            </w:r>
          </w:p>
          <w:p w14:paraId="009BDF6E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>
              <w:rPr>
                <w:b/>
                <w:szCs w:val="21"/>
              </w:rPr>
              <w:t>付款方式：</w:t>
            </w:r>
            <w:r>
              <w:rPr>
                <w:bCs/>
                <w:sz w:val="24"/>
              </w:rPr>
              <w:t>合同签订后，甲方预付合同总金额的20 %，货到验收合格且收到乙方提供的全额发票后，付清尾款。</w:t>
            </w:r>
          </w:p>
          <w:p w14:paraId="61641B1D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>
              <w:rPr>
                <w:b/>
                <w:szCs w:val="21"/>
              </w:rPr>
              <w:t>验收指标及验收要求：</w:t>
            </w:r>
            <w:r>
              <w:rPr>
                <w:rFonts w:hint="eastAsia"/>
                <w:bCs/>
                <w:sz w:val="24"/>
              </w:rPr>
              <w:t>氧化性/易燃性</w:t>
            </w:r>
            <w:r>
              <w:rPr>
                <w:bCs/>
                <w:sz w:val="24"/>
              </w:rPr>
              <w:t>气路气密性≤1×10⁻</w:t>
            </w:r>
            <w:r>
              <w:rPr>
                <w:rFonts w:hint="eastAsia"/>
                <w:bCs/>
                <w:sz w:val="24"/>
                <w:vertAlign w:val="superscript"/>
              </w:rPr>
              <w:t>8</w:t>
            </w:r>
            <w:r>
              <w:rPr>
                <w:bCs/>
                <w:sz w:val="24"/>
                <w:vertAlign w:val="superscript"/>
              </w:rPr>
              <w:t xml:space="preserve"> </w:t>
            </w:r>
            <w:r>
              <w:rPr>
                <w:bCs/>
                <w:sz w:val="24"/>
              </w:rPr>
              <w:t>mbar·L·s</w:t>
            </w:r>
            <w:r>
              <w:rPr>
                <w:bCs/>
                <w:sz w:val="24"/>
                <w:vertAlign w:val="superscript"/>
              </w:rPr>
              <w:t>-1</w:t>
            </w:r>
            <w:r>
              <w:rPr>
                <w:rFonts w:hint="eastAsia"/>
                <w:bCs/>
                <w:sz w:val="24"/>
              </w:rPr>
              <w:t>，毒腐性</w:t>
            </w:r>
            <w:r>
              <w:rPr>
                <w:bCs/>
                <w:sz w:val="24"/>
              </w:rPr>
              <w:t>气路气密性≤1×10⁻⁹ mbar·L·s</w:t>
            </w:r>
            <w:r>
              <w:rPr>
                <w:bCs/>
                <w:sz w:val="24"/>
                <w:vertAlign w:val="superscript"/>
              </w:rPr>
              <w:t>-1</w:t>
            </w:r>
            <w:r>
              <w:rPr>
                <w:rFonts w:hint="eastAsia"/>
                <w:bCs/>
                <w:sz w:val="24"/>
              </w:rPr>
              <w:t>。</w:t>
            </w:r>
          </w:p>
          <w:p w14:paraId="319F5EE1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bCs/>
                <w:sz w:val="24"/>
              </w:rPr>
              <w:t>产品质保期为12个月，时间自验收合格之日起计算。质保期内货物出现质量问题的，乙方应在收到甲方异议通知后的3个工作日内，负责免费更换、维修或补充，并承担由此产生的所有相关费用(包括但不限于运输、人工等)。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1756BC"/>
    <w:multiLevelType w:val="multilevel"/>
    <w:tmpl w:val="7F1756BC"/>
    <w:lvl w:ilvl="0" w:tentative="0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3BA7729D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2026-06-03T09:35:22Z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