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82D8F5B">
            <w:pPr>
              <w:rPr>
                <w:b w:val="0"/>
                <w:bCs w:val="0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Cs w:val="21"/>
              </w:rPr>
              <w:t>低本底α、β计数器</w:t>
            </w:r>
          </w:p>
          <w:p w14:paraId="6946530F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4754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63"/>
              <w:gridCol w:w="3249"/>
              <w:gridCol w:w="368"/>
              <w:gridCol w:w="391"/>
            </w:tblGrid>
            <w:tr w14:paraId="1D0440C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5" w:hRule="atLeast"/>
                <w:jc w:val="center"/>
              </w:trPr>
              <w:tc>
                <w:tcPr>
                  <w:tcW w:w="799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E904D1B">
                  <w:pPr>
                    <w:spacing w:line="360" w:lineRule="auto"/>
                    <w:jc w:val="center"/>
                    <w:rPr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货物名称</w:t>
                  </w:r>
                </w:p>
              </w:tc>
              <w:tc>
                <w:tcPr>
                  <w:tcW w:w="3405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0EAD73B">
                  <w:pPr>
                    <w:spacing w:line="360" w:lineRule="auto"/>
                    <w:jc w:val="center"/>
                    <w:rPr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技术参数和性能要求</w:t>
                  </w:r>
                </w:p>
              </w:tc>
              <w:tc>
                <w:tcPr>
                  <w:tcW w:w="386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4FC4C9">
                  <w:pPr>
                    <w:spacing w:line="360" w:lineRule="auto"/>
                    <w:jc w:val="center"/>
                    <w:rPr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单位</w:t>
                  </w:r>
                </w:p>
              </w:tc>
              <w:tc>
                <w:tcPr>
                  <w:tcW w:w="41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B3CF808">
                  <w:pPr>
                    <w:spacing w:line="360" w:lineRule="auto"/>
                    <w:jc w:val="center"/>
                    <w:rPr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数量</w:t>
                  </w:r>
                </w:p>
              </w:tc>
            </w:tr>
            <w:tr w14:paraId="7B4880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5" w:hRule="atLeast"/>
                <w:jc w:val="center"/>
              </w:trPr>
              <w:tc>
                <w:tcPr>
                  <w:tcW w:w="799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98FCD1">
                  <w:pPr>
                    <w:rPr>
                      <w:b/>
                      <w:bCs/>
                      <w:color w:val="000000"/>
                      <w:szCs w:val="21"/>
                    </w:rPr>
                  </w:pPr>
                  <w:bookmarkStart w:id="0" w:name="_GoBack"/>
                  <w:r>
                    <w:rPr>
                      <w:rFonts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低本底α、β计数器</w:t>
                  </w:r>
                </w:p>
                <w:p w14:paraId="2127C10F">
                  <w:pPr>
                    <w:jc w:val="left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3405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D261BEB">
                  <w:pPr>
                    <w:numPr>
                      <w:ilvl w:val="0"/>
                      <w:numId w:val="1"/>
                    </w:numPr>
                    <w:rPr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szCs w:val="21"/>
                    </w:rPr>
                    <w:t>流气式正比计数器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bCs/>
                      <w:szCs w:val="21"/>
                    </w:rPr>
                    <w:t>；</w:t>
                  </w:r>
                </w:p>
                <w:p w14:paraId="0A09B415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一次可同时测量四个样品，分别给出四个样品中的总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α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和/或总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β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的活度浓度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314E3577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分步送样:即同时独立测量各组样品，每个通道独立运行，提高测量的灵活性和仪器的使用效率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2065D3AD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铅屏蔽：≥ 10 cm (4π屏蔽)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7D764539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单位面积平均本底计数率: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α：≤0.1cpm、β：≤0.8 cpm；</w:t>
                  </w:r>
                </w:p>
                <w:p w14:paraId="3D4A9072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效率比: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α（Am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  <w:vertAlign w:val="superscript"/>
                    </w:rPr>
                    <w:t>241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）≥42%，β（Sr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  <w:vertAlign w:val="superscript"/>
                    </w:rPr>
                    <w:t>90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/Y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  <w:vertAlign w:val="superscript"/>
                    </w:rPr>
                    <w:t>90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）≥45%；</w:t>
                  </w:r>
                </w:p>
                <w:p w14:paraId="70943F40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串扰比：α射线对β道≤3%，β射线对α道≤0.1%；</w:t>
                  </w:r>
                </w:p>
                <w:p w14:paraId="024B724A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探测器膜窗厚度：≤0.21 mg/cm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  <w:vertAlign w:val="superscript"/>
                    </w:rPr>
                    <w:t>2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szCs w:val="21"/>
                      <w:vertAlign w:val="superscript"/>
                    </w:rPr>
                    <w:t>；</w:t>
                  </w:r>
                </w:p>
                <w:p w14:paraId="236C3410">
                  <w:pPr>
                    <w:numPr>
                      <w:ilvl w:val="0"/>
                      <w:numId w:val="2"/>
                    </w:numPr>
                    <w:ind w:left="0" w:firstLine="0"/>
                    <w:rPr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自动测坪、自动扣本底；</w:t>
                  </w:r>
                </w:p>
                <w:p w14:paraId="0915FF9E">
                  <w:pPr>
                    <w:rPr>
                      <w:szCs w:val="21"/>
                    </w:rPr>
                  </w:pPr>
                  <w:r>
                    <w:rPr>
                      <w:rFonts w:hint="eastAsia" w:cs="Times New Roman"/>
                      <w:szCs w:val="21"/>
                    </w:rPr>
                    <w:t>需提供本底计数率和效率比的测试报告。</w:t>
                  </w:r>
                </w:p>
                <w:p w14:paraId="2BFC048D">
                  <w:pPr>
                    <w:numPr>
                      <w:ilvl w:val="0"/>
                      <w:numId w:val="1"/>
                    </w:numPr>
                    <w:jc w:val="left"/>
                    <w:rPr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szCs w:val="21"/>
                    </w:rPr>
                    <w:t>放射性水样蒸发浓缩赶酸仪</w:t>
                  </w:r>
                </w:p>
                <w:p w14:paraId="7E4758E1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不少于8个样品通道，各通道独立控制，进样手臂自动添加样品；</w:t>
                  </w:r>
                </w:p>
                <w:p w14:paraId="1229B0C5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进样精度校准：自动校准，免校准运行；</w:t>
                  </w:r>
                </w:p>
                <w:p w14:paraId="646F20F3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耐腐蚀的碳纤维热源，远红外辐射加热，减少陶瓷高温龟裂；</w:t>
                  </w:r>
                </w:p>
                <w:p w14:paraId="164FEAA3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能够自动识别判断坩埚状态，无坩埚自动停止加热/进水；</w:t>
                  </w:r>
                </w:p>
                <w:p w14:paraId="12E93952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具备赶酸模式，无需额外配套设备，实现样品浓缩后无需转移，自动实现赶酸过程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1848CAEB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要求多浓缩模式运行，至少具有自动定量浓缩和非定量浓缩种模式，实现样品的自动无人值守进样浓缩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3B9D61D4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仪器具备任意通道暂停功能，水样蒸发过程任意追加后续样品，操作灵活方便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1FBECE4C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断电保护：断电自动判断，复电可执行原运行参数或重新设定开启</w:t>
                  </w:r>
                  <w:r>
                    <w:rPr>
                      <w:rFonts w:hint="eastAsia"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75FCE9A3">
                  <w:pPr>
                    <w:numPr>
                      <w:ilvl w:val="0"/>
                      <w:numId w:val="3"/>
                    </w:numPr>
                    <w:ind w:left="0" w:firstLine="0"/>
                    <w:jc w:val="left"/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配置要求：主机1套、样品进样手臂8套、高精度定量系统8套、碳纤维光感热源系统8套、四氟进样管路8套、随机工具1套、废液收集杯1套、自动定量注射泵加酸1套、控制阀2套。</w:t>
                  </w:r>
                </w:p>
                <w:p w14:paraId="029BFC9E">
                  <w:pPr>
                    <w:numPr>
                      <w:ilvl w:val="0"/>
                      <w:numId w:val="1"/>
                    </w:numPr>
                    <w:rPr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bCs/>
                      <w:szCs w:val="21"/>
                    </w:rPr>
                    <w:t>仪器配置</w:t>
                  </w:r>
                </w:p>
                <w:p w14:paraId="3536EA2E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探测器：流气式正比计数器</w:t>
                  </w:r>
                  <w:r>
                    <w:rPr>
                      <w:rFonts w:hint="eastAsia" w:cs="Times New Roman"/>
                      <w:szCs w:val="21"/>
                    </w:rPr>
                    <w:t xml:space="preserve"> 4个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16C2A3B5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放射性水样蒸发浓缩赶酸仪1</w:t>
                  </w:r>
                  <w:r>
                    <w:rPr>
                      <w:rFonts w:hint="eastAsia" w:cs="Times New Roman"/>
                      <w:szCs w:val="21"/>
                    </w:rPr>
                    <w:t>套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；</w:t>
                  </w:r>
                </w:p>
                <w:p w14:paraId="440F1BB0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 xml:space="preserve">放射源：标准粉末源 KCl 1瓶及配套证书，标准粉末源 </w:t>
                  </w:r>
                  <w:r>
                    <w:rPr>
                      <w:rFonts w:ascii="Times New Roman" w:hAnsi="Times New Roman" w:eastAsia="宋体" w:cs="Times New Roman"/>
                      <w:szCs w:val="21"/>
                      <w:vertAlign w:val="superscript"/>
                    </w:rPr>
                    <w:t>241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Am 1瓶及配套证书，</w:t>
                  </w:r>
                  <w:r>
                    <w:rPr>
                      <w:rFonts w:ascii="Times New Roman" w:hAnsi="Times New Roman" w:eastAsia="宋体" w:cs="Times New Roman"/>
                      <w:szCs w:val="21"/>
                      <w:vertAlign w:val="superscript"/>
                    </w:rPr>
                    <w:t>239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 xml:space="preserve">Pu 与 </w:t>
                  </w:r>
                  <w:r>
                    <w:rPr>
                      <w:rFonts w:ascii="Times New Roman" w:hAnsi="Times New Roman" w:eastAsia="宋体" w:cs="Times New Roman"/>
                      <w:szCs w:val="21"/>
                      <w:vertAlign w:val="superscript"/>
                    </w:rPr>
                    <w:t>90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Sr-</w:t>
                  </w:r>
                  <w:r>
                    <w:rPr>
                      <w:rFonts w:ascii="Times New Roman" w:hAnsi="Times New Roman" w:eastAsia="宋体" w:cs="Times New Roman"/>
                      <w:szCs w:val="21"/>
                      <w:vertAlign w:val="superscript"/>
                    </w:rPr>
                    <w:t>90</w:t>
                  </w: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Y 平面源 1套(带配套托盘)及配套证书；</w:t>
                  </w:r>
                </w:p>
                <w:p w14:paraId="12A60CFA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铅室1套；</w:t>
                  </w:r>
                </w:p>
                <w:p w14:paraId="074C84BA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样品盘100个，尺寸:中45mm；</w:t>
                  </w:r>
                </w:p>
                <w:p w14:paraId="1D8C8600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工作站：1套；</w:t>
                  </w:r>
                </w:p>
                <w:p w14:paraId="32FD6AD8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图形处理器1台；</w:t>
                  </w:r>
                </w:p>
                <w:p w14:paraId="3EF8A6D4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不间断电源UPS，待机 1h；</w:t>
                  </w:r>
                </w:p>
                <w:p w14:paraId="6424DBFE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相关配件一套；</w:t>
                  </w:r>
                </w:p>
                <w:p w14:paraId="75189C53">
                  <w:pPr>
                    <w:numPr>
                      <w:ilvl w:val="0"/>
                      <w:numId w:val="4"/>
                    </w:numPr>
                    <w:rPr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szCs w:val="21"/>
                    </w:rPr>
                    <w:t>仪器检定证书1份、产品合格证、产品使用说明书、电子版本说明书、装箱单各1份;</w:t>
                  </w:r>
                </w:p>
              </w:tc>
              <w:tc>
                <w:tcPr>
                  <w:tcW w:w="386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C32226C">
                  <w:pPr>
                    <w:spacing w:line="360" w:lineRule="auto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</w:rPr>
                    <w:t>套</w:t>
                  </w:r>
                </w:p>
              </w:tc>
              <w:tc>
                <w:tcPr>
                  <w:tcW w:w="41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5F7641">
                  <w:pPr>
                    <w:spacing w:line="360" w:lineRule="auto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szCs w:val="21"/>
                    </w:rPr>
                    <w:t>1</w:t>
                  </w:r>
                </w:p>
              </w:tc>
            </w:tr>
            <w:bookmarkEnd w:id="0"/>
          </w:tbl>
          <w:p w14:paraId="277541CE">
            <w:pPr>
              <w:tabs>
                <w:tab w:val="left" w:pos="6915"/>
              </w:tabs>
              <w:jc w:val="left"/>
            </w:pPr>
            <w:r>
              <w:rPr>
                <w:rFonts w:hint="eastAsia"/>
              </w:rPr>
              <w:t>注：报价时</w:t>
            </w:r>
            <w:r>
              <w:rPr>
                <w:rFonts w:ascii="宋体" w:hAnsi="宋体" w:cs="仿宋"/>
                <w:szCs w:val="21"/>
              </w:rPr>
              <w:t>投标方</w:t>
            </w:r>
            <w:r>
              <w:rPr>
                <w:rFonts w:hint="eastAsia" w:ascii="宋体" w:hAnsi="宋体" w:cs="仿宋"/>
                <w:szCs w:val="21"/>
              </w:rPr>
              <w:t>提供的产品需为成熟的，标准化的；</w:t>
            </w:r>
          </w:p>
          <w:p w14:paraId="586A36F4">
            <w:pPr>
              <w:tabs>
                <w:tab w:val="left" w:pos="6915"/>
              </w:tabs>
              <w:jc w:val="left"/>
            </w:pPr>
            <w:r>
              <w:rPr>
                <w:rFonts w:hint="eastAsia"/>
              </w:rPr>
              <w:t>报价时</w:t>
            </w:r>
            <w:r>
              <w:rPr>
                <w:rFonts w:ascii="宋体" w:hAnsi="宋体" w:cs="仿宋"/>
                <w:szCs w:val="21"/>
              </w:rPr>
              <w:t>投标方</w:t>
            </w:r>
            <w:r>
              <w:rPr>
                <w:rFonts w:hint="eastAsia"/>
              </w:rPr>
              <w:t>需要提供辐射安全许可证的复印件；</w:t>
            </w:r>
          </w:p>
          <w:p w14:paraId="7DCB148A">
            <w:r>
              <w:rPr>
                <w:rFonts w:hint="eastAsia"/>
              </w:rPr>
              <w:t>报价时</w:t>
            </w:r>
            <w:r>
              <w:rPr>
                <w:rFonts w:ascii="宋体" w:hAnsi="宋体" w:cs="仿宋"/>
                <w:szCs w:val="21"/>
              </w:rPr>
              <w:t>投标方</w:t>
            </w:r>
            <w:r>
              <w:rPr>
                <w:rFonts w:hint="eastAsia"/>
              </w:rPr>
              <w:t>需提供</w:t>
            </w:r>
            <w:r>
              <w:rPr>
                <w:rFonts w:hint="eastAsia" w:cs="Times New Roman"/>
                <w:szCs w:val="21"/>
              </w:rPr>
              <w:t>需提供本底计数率和效率比的测试报告</w:t>
            </w:r>
            <w:r>
              <w:rPr>
                <w:rFonts w:hint="eastAsia"/>
              </w:rPr>
              <w:t>；</w:t>
            </w:r>
          </w:p>
          <w:p w14:paraId="3507DFFC">
            <w:pPr>
              <w:tabs>
                <w:tab w:val="left" w:pos="6915"/>
              </w:tabs>
              <w:jc w:val="left"/>
              <w:rPr>
                <w:rFonts w:hint="eastAsia"/>
                <w:szCs w:val="21"/>
              </w:rPr>
            </w:pPr>
            <w:r>
              <w:rPr>
                <w:rFonts w:ascii="宋体" w:hAnsi="宋体" w:cs="仿宋"/>
                <w:szCs w:val="21"/>
              </w:rPr>
              <w:t>投标方需提供制造商</w:t>
            </w:r>
            <w:r>
              <w:rPr>
                <w:rFonts w:hint="eastAsia" w:ascii="宋体" w:hAnsi="宋体" w:cs="仿宋"/>
                <w:szCs w:val="21"/>
              </w:rPr>
              <w:t>或国内总代理商针对本项目的售后服务承诺。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1FBF3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Cs w:val="21"/>
              </w:rPr>
              <w:t>合同生效之日起180日内完成备货，在接到业主交货安装通知7日内，将所有货物送达至指定地点。</w:t>
            </w:r>
          </w:p>
          <w:p w14:paraId="17DB56CC">
            <w:pPr>
              <w:pStyle w:val="11"/>
              <w:ind w:firstLine="0" w:firstLineChars="0"/>
              <w:jc w:val="both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交货方式：</w:t>
            </w:r>
            <w:r>
              <w:rPr>
                <w:rFonts w:hint="eastAsia"/>
                <w:szCs w:val="21"/>
              </w:rPr>
              <w:t>一次性交付所有货物。</w:t>
            </w:r>
          </w:p>
          <w:p w14:paraId="549D8874">
            <w:pPr>
              <w:pStyle w:val="11"/>
              <w:ind w:firstLine="0" w:firstLineChars="0"/>
              <w:jc w:val="both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付款方式</w:t>
            </w:r>
            <w:r>
              <w:rPr>
                <w:rFonts w:hint="eastAsia"/>
                <w:szCs w:val="21"/>
              </w:rPr>
              <w:t>合同签订后，甲方预付合同总金额的30%，货到验收合格且收到乙方提供的全额发票后，甲方付清尾款。</w:t>
            </w:r>
          </w:p>
          <w:p w14:paraId="3A88BAC2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2A717E8B">
            <w:pPr>
              <w:pStyle w:val="11"/>
              <w:widowControl/>
              <w:numPr>
                <w:ilvl w:val="0"/>
                <w:numId w:val="5"/>
              </w:numPr>
              <w:tabs>
                <w:tab w:val="clear" w:pos="1428"/>
              </w:tabs>
              <w:ind w:firstLineChars="0"/>
              <w:rPr>
                <w:rFonts w:hint="eastAsia"/>
                <w:szCs w:val="21"/>
              </w:rPr>
            </w:pPr>
            <w:r>
              <w:rPr>
                <w:szCs w:val="21"/>
              </w:rPr>
              <w:t>出厂说明书</w:t>
            </w:r>
            <w:r>
              <w:rPr>
                <w:rFonts w:hint="eastAsia"/>
                <w:szCs w:val="21"/>
              </w:rPr>
              <w:t>；</w:t>
            </w:r>
          </w:p>
          <w:p w14:paraId="5F105AB5">
            <w:pPr>
              <w:pStyle w:val="11"/>
              <w:widowControl/>
              <w:numPr>
                <w:ilvl w:val="0"/>
                <w:numId w:val="5"/>
              </w:numPr>
              <w:tabs>
                <w:tab w:val="clear" w:pos="1428"/>
              </w:tabs>
              <w:ind w:firstLineChars="0"/>
              <w:rPr>
                <w:rFonts w:hint="eastAsia"/>
                <w:szCs w:val="21"/>
              </w:rPr>
            </w:pPr>
            <w:r>
              <w:rPr>
                <w:szCs w:val="21"/>
              </w:rPr>
              <w:t>质量合格证1套</w:t>
            </w:r>
            <w:r>
              <w:rPr>
                <w:rFonts w:hint="eastAsia"/>
                <w:szCs w:val="21"/>
              </w:rPr>
              <w:t xml:space="preserve">；                                                                                                                                         </w:t>
            </w:r>
          </w:p>
          <w:p w14:paraId="1174C526">
            <w:pPr>
              <w:pStyle w:val="11"/>
              <w:widowControl/>
              <w:numPr>
                <w:ilvl w:val="0"/>
                <w:numId w:val="5"/>
              </w:numPr>
              <w:tabs>
                <w:tab w:val="clear" w:pos="1428"/>
              </w:tabs>
              <w:ind w:firstLineChars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部分参数需</w:t>
            </w:r>
            <w:r>
              <w:rPr>
                <w:szCs w:val="21"/>
              </w:rPr>
              <w:t>提供有资质的第三方检测机构出具的检定</w:t>
            </w:r>
            <w:r>
              <w:rPr>
                <w:rFonts w:hint="eastAsia"/>
                <w:szCs w:val="21"/>
              </w:rPr>
              <w:t>或</w:t>
            </w:r>
            <w:r>
              <w:rPr>
                <w:szCs w:val="21"/>
              </w:rPr>
              <w:t>校准证书</w:t>
            </w:r>
            <w:r>
              <w:rPr>
                <w:rFonts w:hint="eastAsia"/>
                <w:szCs w:val="21"/>
              </w:rPr>
              <w:t>。</w:t>
            </w:r>
          </w:p>
          <w:p w14:paraId="47BBEBC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1702B772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产品质保期为12个月，时间自验收合格之日起计算。质保期内货物出现质量问题的，供应商应在3日内以更换等方式解决，并承担相应费用。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B0BEC4"/>
    <w:multiLevelType w:val="singleLevel"/>
    <w:tmpl w:val="B1B0BEC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DCC23B1"/>
    <w:multiLevelType w:val="singleLevel"/>
    <w:tmpl w:val="BDCC23B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EBEAD32B"/>
    <w:multiLevelType w:val="singleLevel"/>
    <w:tmpl w:val="EBEAD32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059D6668"/>
    <w:multiLevelType w:val="singleLevel"/>
    <w:tmpl w:val="059D666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103C6FF4"/>
    <w:multiLevelType w:val="multilevel"/>
    <w:tmpl w:val="103C6FF4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30" w:hanging="420"/>
      </w:pPr>
    </w:lvl>
    <w:lvl w:ilvl="2" w:tentative="0">
      <w:start w:val="1"/>
      <w:numFmt w:val="lowerRoman"/>
      <w:lvlText w:val="%3."/>
      <w:lvlJc w:val="right"/>
      <w:pPr>
        <w:ind w:left="1050" w:hanging="420"/>
      </w:pPr>
    </w:lvl>
    <w:lvl w:ilvl="3" w:tentative="0">
      <w:start w:val="1"/>
      <w:numFmt w:val="decimal"/>
      <w:lvlText w:val="%4."/>
      <w:lvlJc w:val="left"/>
      <w:pPr>
        <w:ind w:left="1470" w:hanging="420"/>
      </w:pPr>
    </w:lvl>
    <w:lvl w:ilvl="4" w:tentative="0">
      <w:start w:val="1"/>
      <w:numFmt w:val="lowerLetter"/>
      <w:lvlText w:val="%5)"/>
      <w:lvlJc w:val="left"/>
      <w:pPr>
        <w:ind w:left="1890" w:hanging="420"/>
      </w:pPr>
    </w:lvl>
    <w:lvl w:ilvl="5" w:tentative="0">
      <w:start w:val="1"/>
      <w:numFmt w:val="lowerRoman"/>
      <w:lvlText w:val="%6."/>
      <w:lvlJc w:val="right"/>
      <w:pPr>
        <w:ind w:left="2310" w:hanging="420"/>
      </w:pPr>
    </w:lvl>
    <w:lvl w:ilvl="6" w:tentative="0">
      <w:start w:val="1"/>
      <w:numFmt w:val="decimal"/>
      <w:lvlText w:val="%7."/>
      <w:lvlJc w:val="left"/>
      <w:pPr>
        <w:ind w:left="2730" w:hanging="420"/>
      </w:pPr>
    </w:lvl>
    <w:lvl w:ilvl="7" w:tentative="0">
      <w:start w:val="1"/>
      <w:numFmt w:val="lowerLetter"/>
      <w:lvlText w:val="%8)"/>
      <w:lvlJc w:val="left"/>
      <w:pPr>
        <w:ind w:left="3150" w:hanging="420"/>
      </w:pPr>
    </w:lvl>
    <w:lvl w:ilvl="8" w:tentative="0">
      <w:start w:val="1"/>
      <w:numFmt w:val="lowerRoman"/>
      <w:lvlText w:val="%9."/>
      <w:lvlJc w:val="right"/>
      <w:pPr>
        <w:ind w:left="357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3AE6"/>
    <w:rsid w:val="00015CB8"/>
    <w:rsid w:val="00020783"/>
    <w:rsid w:val="0004571F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088A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2485"/>
    <w:rsid w:val="00825420"/>
    <w:rsid w:val="00832C3E"/>
    <w:rsid w:val="00872767"/>
    <w:rsid w:val="008A717C"/>
    <w:rsid w:val="008D62B6"/>
    <w:rsid w:val="008E3DB8"/>
    <w:rsid w:val="008F0FFC"/>
    <w:rsid w:val="008F53D3"/>
    <w:rsid w:val="008F5C2B"/>
    <w:rsid w:val="00903BE2"/>
    <w:rsid w:val="00903C2B"/>
    <w:rsid w:val="009064C4"/>
    <w:rsid w:val="009109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EB504C"/>
    <w:rsid w:val="00EE38CF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  <w:rsid w:val="5B84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1153</Words>
  <Characters>1232</Characters>
  <Lines>10</Lines>
  <Paragraphs>2</Paragraphs>
  <TotalTime>0</TotalTime>
  <ScaleCrop>false</ScaleCrop>
  <LinksUpToDate>false</LinksUpToDate>
  <CharactersWithSpaces>1413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2025-12-01T10:15:20Z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