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算力卡</w:t>
            </w:r>
          </w:p>
        </w:tc>
        <w:tc>
          <w:tcPr>
            <w:tcW w:w="5322" w:type="dxa"/>
            <w:vAlign w:val="center"/>
          </w:tcPr>
          <w:p w14:paraId="6455E898">
            <w:pPr>
              <w:pStyle w:val="5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textAlignment w:val="auto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算力卡：采购2块计算卡，单卡性能要求：支持CUDA，单卡显存不低于84GB GDDR7，具备19968个CUDA核心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  <w:t>GPU型号须为正式发布的产品，且生产日期不得早于2025年1月1日。供应商须在报价文件中明确列示GPU的品牌、型号、数量、显存容量、生产日期。</w:t>
            </w:r>
          </w:p>
          <w:p w14:paraId="370FA549">
            <w:pPr>
              <w:pStyle w:val="5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textAlignment w:val="auto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电源模块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为了满足原有系统对于GPU扩容的功率要求，需要提供一个原有系统的兼容的2000W功率电源模块。</w:t>
            </w:r>
          </w:p>
          <w:p w14:paraId="34305067">
            <w:pPr>
              <w:pStyle w:val="5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textAlignment w:val="auto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散热套件：配置2组GPU外挂散热套件，提供3组热插拔风扇模块；</w:t>
            </w:r>
          </w:p>
          <w:p w14:paraId="1336C07F">
            <w:pPr>
              <w:pStyle w:val="5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textAlignment w:val="auto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技术支持：原有系统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不具备GPU加速运行环境，需要将原有系统升级，部署一套完整的面向科研实际运行场景的软件生态，部署编译好课题组需要的专业软件的GPU版本。</w:t>
            </w:r>
          </w:p>
          <w:p w14:paraId="44710251">
            <w:pPr>
              <w:pStyle w:val="5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现场实施：必须提供原厂全新产品，现场拆包安装，外包装SN号信息与实际显卡SN号信息一致。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75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自合同签订之日起 15日内交货</w:t>
            </w:r>
          </w:p>
          <w:p w14:paraId="3A39597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一次性交付</w:t>
            </w:r>
          </w:p>
          <w:p w14:paraId="161F788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甲方预付合同总金额的40%，项目验收合格且收到乙方提供的全额支票后支付剩余60%尾款。</w:t>
            </w:r>
          </w:p>
          <w:p w14:paraId="2AD3675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以技术参数为验收依据</w:t>
            </w:r>
          </w:p>
          <w:p w14:paraId="49B71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阶段性检查要求：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出厂测试：乙方在系统进场安装部署前完成出厂测试，按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eastAsia="zh-CN"/>
              </w:rPr>
              <w:t>“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规格和技术参数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eastAsia="zh-CN"/>
              </w:rPr>
              <w:t>”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逐项测试并留测试记录，测试合格后方可进场安装部署。</w:t>
            </w:r>
          </w:p>
          <w:p w14:paraId="2D1F6F2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供货方对系统软件及交付的全部文档提供3年质量保证期。质保期内，供货方在收到采购方电话、邮件或微信通知后2个工作日内响应，并免费提供远程或上门维护、缺陷修复服务。质保期内系统出现质量问题、功能缺陷或与本询价要求不符的情形，供货方须按采购方要求限期包修、包换或包退，并承担由此产生的全部费用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38C84348"/>
    <w:rsid w:val="517D163D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536</Characters>
  <Lines>0</Lines>
  <Paragraphs>0</Paragraphs>
  <TotalTime>2</TotalTime>
  <ScaleCrop>false</ScaleCrop>
  <LinksUpToDate>false</LinksUpToDate>
  <CharactersWithSpaces>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2026-11-03T07:44:08Z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B07FA17BFEF74EE7A036BF493B61137E_13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