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波长可调谐激光系统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11D0F3E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一套深紫外波长可调谐系统：</w:t>
            </w:r>
          </w:p>
          <w:p w14:paraId="7F05D66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输入脉冲宽度：&lt;1000 fs；</w:t>
            </w:r>
          </w:p>
          <w:p w14:paraId="3224F03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输入光谱宽度：2nm；</w:t>
            </w:r>
          </w:p>
          <w:p w14:paraId="30DE580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3、输入中心波长：800 nm；</w:t>
            </w:r>
          </w:p>
          <w:p w14:paraId="4E31C11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4、输入能量：&gt;3mJ@100 Hz；</w:t>
            </w:r>
          </w:p>
          <w:p w14:paraId="6EB49B1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5、输出波长调协范围：250-280nm；</w:t>
            </w:r>
          </w:p>
          <w:p w14:paraId="42189FF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6、输出能量: &gt;20 uJ</w:t>
            </w:r>
          </w:p>
          <w:p w14:paraId="2B203B7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7、输出光谱宽度：&gt;2 nm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收到预付款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6个月内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379C67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6CE81EE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40%合同签订预付，30%阶段性检查后支付，30%验收合格后支付。</w:t>
            </w:r>
          </w:p>
          <w:p w14:paraId="4519B5B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</w:p>
          <w:p w14:paraId="214B75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输出波长调协范围：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250-280nm；</w:t>
            </w:r>
          </w:p>
          <w:p w14:paraId="5735133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2、输出能量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: &gt;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20 uJ</w:t>
            </w:r>
          </w:p>
          <w:p w14:paraId="7BFC044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  <w:t>阶段性检查要求：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完成产品设计方案，完成器件采购工作，基本完成生产。</w:t>
            </w:r>
          </w:p>
          <w:p w14:paraId="19711C8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2个月内保修，48小时内（工作日）响应，保修期内需方在正常使用情况下，供方提供免费维修维护。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E1DA2"/>
    <w:multiLevelType w:val="singleLevel"/>
    <w:tmpl w:val="826E1DA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38C84348"/>
    <w:rsid w:val="424D68E3"/>
    <w:rsid w:val="60854C98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413</Characters>
  <Lines>0</Lines>
  <Paragraphs>0</Paragraphs>
  <TotalTime>0</TotalTime>
  <ScaleCrop>false</ScaleCrop>
  <LinksUpToDate>false</LinksUpToDate>
  <CharactersWithSpaces>427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2026-09-21T10:11:03Z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495A988542D849FEAC58FBED6D84C645_13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