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8"/>
        <w:gridCol w:w="1065"/>
        <w:gridCol w:w="6235"/>
        <w:gridCol w:w="1082"/>
        <w:gridCol w:w="791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48A554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射频器件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tbl>
            <w:tblPr>
              <w:tblStyle w:val="5"/>
              <w:tblW w:w="4998" w:type="pct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26"/>
              <w:gridCol w:w="426"/>
              <w:gridCol w:w="531"/>
              <w:gridCol w:w="4626"/>
            </w:tblGrid>
            <w:tr w14:paraId="01F506B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4" w:hRule="atLeast"/>
              </w:trPr>
              <w:tc>
                <w:tcPr>
                  <w:tcW w:w="797" w:type="pct"/>
                  <w:vAlign w:val="center"/>
                </w:tcPr>
                <w:p w14:paraId="22F50B2E"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名称</w:t>
                  </w:r>
                </w:p>
              </w:tc>
              <w:tc>
                <w:tcPr>
                  <w:tcW w:w="382" w:type="pct"/>
                  <w:vAlign w:val="center"/>
                </w:tcPr>
                <w:p w14:paraId="3EF1DE05"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单位</w:t>
                  </w:r>
                </w:p>
              </w:tc>
              <w:tc>
                <w:tcPr>
                  <w:tcW w:w="399" w:type="pct"/>
                  <w:vAlign w:val="center"/>
                </w:tcPr>
                <w:p w14:paraId="748F12E3"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数量</w:t>
                  </w:r>
                </w:p>
              </w:tc>
              <w:tc>
                <w:tcPr>
                  <w:tcW w:w="3420" w:type="pct"/>
                  <w:vAlign w:val="center"/>
                </w:tcPr>
                <w:p w14:paraId="20759E25"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技术、商务要求</w:t>
                  </w:r>
                </w:p>
              </w:tc>
            </w:tr>
            <w:tr w14:paraId="7CADD10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37" w:hRule="atLeast"/>
              </w:trPr>
              <w:tc>
                <w:tcPr>
                  <w:tcW w:w="797" w:type="pct"/>
                  <w:vAlign w:val="center"/>
                </w:tcPr>
                <w:p w14:paraId="352FBC31">
                  <w:pPr>
                    <w:widowControl/>
                    <w:jc w:val="center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匹配负载</w:t>
                  </w:r>
                </w:p>
              </w:tc>
              <w:tc>
                <w:tcPr>
                  <w:tcW w:w="382" w:type="pct"/>
                  <w:vAlign w:val="center"/>
                </w:tcPr>
                <w:p w14:paraId="4B0381B4"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399" w:type="pct"/>
                  <w:vAlign w:val="center"/>
                </w:tcPr>
                <w:p w14:paraId="47DE36E7"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  <w:tc>
                <w:tcPr>
                  <w:tcW w:w="3420" w:type="pct"/>
                  <w:vAlign w:val="center"/>
                </w:tcPr>
                <w:p w14:paraId="3CEF2E8A">
                  <w:pPr>
                    <w:tabs>
                      <w:tab w:val="left" w:pos="6915"/>
                    </w:tabs>
                    <w:jc w:val="left"/>
                    <w:rPr>
                      <w:rFonts w:hint="eastAsia" w:ascii="宋体" w:hAnsi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频率范围DC to 18000 MHz，匹配阻抗为50Ω，回波损耗≥35dB（DC-4GHz），最大功率1W。</w:t>
                  </w:r>
                </w:p>
              </w:tc>
            </w:tr>
            <w:tr w14:paraId="521E8B2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202" w:hRule="atLeast"/>
              </w:trPr>
              <w:tc>
                <w:tcPr>
                  <w:tcW w:w="797" w:type="pct"/>
                  <w:vAlign w:val="center"/>
                </w:tcPr>
                <w:p w14:paraId="2EBF64BB">
                  <w:pPr>
                    <w:widowControl/>
                    <w:jc w:val="center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功分器</w:t>
                  </w:r>
                </w:p>
              </w:tc>
              <w:tc>
                <w:tcPr>
                  <w:tcW w:w="382" w:type="pct"/>
                  <w:vAlign w:val="center"/>
                </w:tcPr>
                <w:p w14:paraId="0D49E42D"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399" w:type="pct"/>
                  <w:vAlign w:val="center"/>
                </w:tcPr>
                <w:p w14:paraId="67390E37"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14</w:t>
                  </w:r>
                </w:p>
              </w:tc>
              <w:tc>
                <w:tcPr>
                  <w:tcW w:w="3420" w:type="pct"/>
                  <w:vAlign w:val="center"/>
                </w:tcPr>
                <w:p w14:paraId="67D8321E">
                  <w:pPr>
                    <w:tabs>
                      <w:tab w:val="left" w:pos="6915"/>
                    </w:tabs>
                    <w:jc w:val="left"/>
                    <w:rPr>
                      <w:rFonts w:hint="eastAsia" w:ascii="宋体" w:hAnsi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工作频率为DC-8.4GHz，接口为SMA，具有四路输出零相位电阻型的功分器，特性阻抗50Ω，低插入损耗，插损小于0.05dB，隔离度大于6.0dB，相位不平衡度小于1.5°，幅度不平衡度小于0.3dB，通道间VSWR小于1.15:1（10个）；</w:t>
                  </w:r>
                </w:p>
                <w:p w14:paraId="2D924135">
                  <w:pPr>
                    <w:tabs>
                      <w:tab w:val="left" w:pos="6915"/>
                    </w:tabs>
                    <w:jc w:val="left"/>
                    <w:rPr>
                      <w:rFonts w:hint="eastAsia" w:ascii="宋体" w:hAnsi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工作频率为5-2500MHz，接口为SMA，两路输出，特性阻抗50Ω，插损小于1.0dB，隔离度大于17.0dB，相位不平衡度小于2°，幅度不平衡度小于0.2dB，输入功率大于1W（4个）。</w:t>
                  </w:r>
                </w:p>
              </w:tc>
            </w:tr>
            <w:tr w14:paraId="056E1CE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49" w:hRule="atLeast"/>
              </w:trPr>
              <w:tc>
                <w:tcPr>
                  <w:tcW w:w="797" w:type="pct"/>
                  <w:vAlign w:val="center"/>
                </w:tcPr>
                <w:p w14:paraId="1A95853C">
                  <w:pPr>
                    <w:widowControl/>
                    <w:jc w:val="center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衰减器</w:t>
                  </w:r>
                </w:p>
              </w:tc>
              <w:tc>
                <w:tcPr>
                  <w:tcW w:w="382" w:type="pct"/>
                  <w:vAlign w:val="center"/>
                </w:tcPr>
                <w:p w14:paraId="1B8DAE84"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399" w:type="pct"/>
                  <w:vAlign w:val="center"/>
                </w:tcPr>
                <w:p w14:paraId="62C66365"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200</w:t>
                  </w:r>
                </w:p>
              </w:tc>
              <w:tc>
                <w:tcPr>
                  <w:tcW w:w="3420" w:type="pct"/>
                  <w:vAlign w:val="center"/>
                </w:tcPr>
                <w:p w14:paraId="57B02833">
                  <w:pPr>
                    <w:tabs>
                      <w:tab w:val="left" w:pos="6915"/>
                    </w:tabs>
                    <w:jc w:val="left"/>
                    <w:rPr>
                      <w:rFonts w:hint="eastAsia" w:ascii="宋体" w:hAnsi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工作频率为DC-12GHz，接口为SMA，特性阻抗50Ω， 最大输入功率2W，衰减典型值为1dB/2dB/3dB/4dB/5dB/6dB/7dB/8dB/9dB/10dB，VSWR小于1.2：1（每种衰减值20个）。</w:t>
                  </w:r>
                </w:p>
              </w:tc>
            </w:tr>
            <w:tr w14:paraId="3728134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62" w:hRule="atLeast"/>
              </w:trPr>
              <w:tc>
                <w:tcPr>
                  <w:tcW w:w="797" w:type="pct"/>
                  <w:vAlign w:val="center"/>
                </w:tcPr>
                <w:p w14:paraId="575E7E90">
                  <w:pPr>
                    <w:widowControl/>
                    <w:jc w:val="center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稳相线缆</w:t>
                  </w:r>
                </w:p>
              </w:tc>
              <w:tc>
                <w:tcPr>
                  <w:tcW w:w="382" w:type="pct"/>
                  <w:vAlign w:val="center"/>
                </w:tcPr>
                <w:p w14:paraId="4DB4AF19"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根</w:t>
                  </w:r>
                </w:p>
              </w:tc>
              <w:tc>
                <w:tcPr>
                  <w:tcW w:w="399" w:type="pct"/>
                  <w:vAlign w:val="center"/>
                </w:tcPr>
                <w:p w14:paraId="7303DBAB"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  <w:tc>
                <w:tcPr>
                  <w:tcW w:w="3420" w:type="pct"/>
                  <w:vAlign w:val="center"/>
                </w:tcPr>
                <w:p w14:paraId="489F118A">
                  <w:pPr>
                    <w:tabs>
                      <w:tab w:val="left" w:pos="6915"/>
                    </w:tabs>
                    <w:jc w:val="left"/>
                    <w:rPr>
                      <w:rFonts w:hint="eastAsia" w:ascii="宋体" w:hAnsi="宋体"/>
                      <w:bCs/>
                      <w:szCs w:val="21"/>
                    </w:rPr>
                  </w:pPr>
                  <w:r>
                    <w:rPr>
                      <w:rFonts w:hint="eastAsia"/>
                    </w:rPr>
                    <w:t>连接器为SMA公头，工作频率DC-18GHz，特性阻抗50Ω，信号传输速率＞82%，3GHz驻波＜1.15，插损小于0.43dB/m，</w:t>
                  </w:r>
                  <w:r>
                    <w:rPr>
                      <w:rFonts w:hint="eastAsia"/>
                      <w:b/>
                      <w:bCs/>
                    </w:rPr>
                    <w:t>23℃情况下±5°，相位变化在10ppm以内（相位变化小于万分之0.1）</w:t>
                  </w:r>
                  <w:r>
                    <w:rPr>
                      <w:rFonts w:hint="eastAsia"/>
                    </w:rPr>
                    <w:t>。0.5m长度20根；1m长度20根；2m长度10根；3m长度5根。</w:t>
                  </w:r>
                </w:p>
              </w:tc>
            </w:tr>
            <w:tr w14:paraId="1FC93AC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42" w:hRule="atLeast"/>
              </w:trPr>
              <w:tc>
                <w:tcPr>
                  <w:tcW w:w="797" w:type="pct"/>
                  <w:vAlign w:val="center"/>
                </w:tcPr>
                <w:p w14:paraId="5DB68F17">
                  <w:pPr>
                    <w:widowControl/>
                    <w:jc w:val="center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连接器</w:t>
                  </w:r>
                </w:p>
              </w:tc>
              <w:tc>
                <w:tcPr>
                  <w:tcW w:w="382" w:type="pct"/>
                  <w:vAlign w:val="center"/>
                </w:tcPr>
                <w:p w14:paraId="4ED9CA12"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399" w:type="pct"/>
                  <w:vAlign w:val="center"/>
                </w:tcPr>
                <w:p w14:paraId="5C034522"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260</w:t>
                  </w:r>
                </w:p>
              </w:tc>
              <w:tc>
                <w:tcPr>
                  <w:tcW w:w="3420" w:type="pct"/>
                  <w:vAlign w:val="center"/>
                </w:tcPr>
                <w:p w14:paraId="2D4F66B2">
                  <w:pPr>
                    <w:tabs>
                      <w:tab w:val="left" w:pos="6915"/>
                    </w:tabs>
                    <w:jc w:val="left"/>
                    <w:rPr>
                      <w:rFonts w:hint="eastAsia" w:ascii="宋体" w:hAnsi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N型公头转SMA母头，工作频率DC-18GHz，特性阻抗50Ω，插入损耗小于0.1dB，VSWR小于1.15：1.（30个）；</w:t>
                  </w:r>
                </w:p>
                <w:p w14:paraId="0FC94D96">
                  <w:pPr>
                    <w:tabs>
                      <w:tab w:val="left" w:pos="6915"/>
                    </w:tabs>
                    <w:jc w:val="left"/>
                    <w:rPr>
                      <w:rFonts w:hint="eastAsia" w:ascii="宋体" w:hAnsi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SMA公头转SMA母头，工作频率DC-18GHz，特性阻抗50Ω，插入损耗小于0.1dB，VSWR小于1.15：1.（直头、弯头各30）；</w:t>
                  </w:r>
                </w:p>
                <w:p w14:paraId="4862FA87">
                  <w:pPr>
                    <w:tabs>
                      <w:tab w:val="left" w:pos="6915"/>
                    </w:tabs>
                    <w:jc w:val="left"/>
                    <w:rPr>
                      <w:rFonts w:hint="eastAsia" w:ascii="宋体" w:hAnsi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SMA公头转SMA公头，工作频率DC-18GHz，特性阻抗50Ω，插入损耗小于0.1dB，VSWR小于1.15：1（直头、弯头各30）；</w:t>
                  </w:r>
                </w:p>
                <w:p w14:paraId="0D102661">
                  <w:pPr>
                    <w:tabs>
                      <w:tab w:val="left" w:pos="6915"/>
                    </w:tabs>
                    <w:jc w:val="left"/>
                    <w:rPr>
                      <w:rFonts w:hint="eastAsia" w:ascii="宋体" w:hAnsi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SMA母头转SMA母头，工作频率DC-18GHz，特性阻抗50Ω，插入损耗小于0.1dB，VSWR小于1.15：1（直头、弯头各30）；</w:t>
                  </w:r>
                </w:p>
                <w:p w14:paraId="5D3DF8FE">
                  <w:pPr>
                    <w:tabs>
                      <w:tab w:val="left" w:pos="6915"/>
                    </w:tabs>
                    <w:jc w:val="left"/>
                    <w:rPr>
                      <w:rFonts w:hint="eastAsia" w:ascii="宋体" w:hAnsi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SMA母头转BNC公头，工作频率DC-2GHz，特性阻抗50Ω，插入损耗小于0.05dB，VSWR小于1.2：1（50个）。</w:t>
                  </w:r>
                </w:p>
              </w:tc>
            </w:tr>
            <w:tr w14:paraId="6765127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62" w:hRule="atLeast"/>
              </w:trPr>
              <w:tc>
                <w:tcPr>
                  <w:tcW w:w="797" w:type="pct"/>
                  <w:vAlign w:val="center"/>
                </w:tcPr>
                <w:p w14:paraId="4B9D3181">
                  <w:pPr>
                    <w:widowControl/>
                    <w:jc w:val="center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限幅器</w:t>
                  </w:r>
                </w:p>
              </w:tc>
              <w:tc>
                <w:tcPr>
                  <w:tcW w:w="382" w:type="pct"/>
                  <w:vAlign w:val="center"/>
                </w:tcPr>
                <w:p w14:paraId="062D909C"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399" w:type="pct"/>
                  <w:vAlign w:val="center"/>
                </w:tcPr>
                <w:p w14:paraId="61473F2A"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4</w:t>
                  </w:r>
                </w:p>
              </w:tc>
              <w:tc>
                <w:tcPr>
                  <w:tcW w:w="3420" w:type="pct"/>
                  <w:vAlign w:val="center"/>
                </w:tcPr>
                <w:p w14:paraId="280B676D">
                  <w:pPr>
                    <w:tabs>
                      <w:tab w:val="left" w:pos="6915"/>
                    </w:tabs>
                    <w:jc w:val="left"/>
                    <w:rPr>
                      <w:rFonts w:hint="eastAsia" w:ascii="宋体" w:hAnsi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工作频率覆盖0.2至3000 MHz的范围，接口为SMA，具备+12 dBm至+33 dBm的宽输入功率限幅范围，插入损耗小于0.4 dB，在+12至+20 dBm的输入范围内增益压缩小于0.3dB，恢复时间小于5纳秒，输出功率峰值+13 dBm。</w:t>
                  </w:r>
                </w:p>
              </w:tc>
            </w:tr>
            <w:tr w14:paraId="47E9B05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7" w:hRule="atLeast"/>
              </w:trPr>
              <w:tc>
                <w:tcPr>
                  <w:tcW w:w="797" w:type="pct"/>
                  <w:vAlign w:val="center"/>
                </w:tcPr>
                <w:p w14:paraId="20E9E3F8">
                  <w:pPr>
                    <w:widowControl/>
                    <w:jc w:val="center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隔离器</w:t>
                  </w:r>
                </w:p>
              </w:tc>
              <w:tc>
                <w:tcPr>
                  <w:tcW w:w="382" w:type="pct"/>
                  <w:vAlign w:val="center"/>
                </w:tcPr>
                <w:p w14:paraId="015BB868"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399" w:type="pct"/>
                  <w:vAlign w:val="center"/>
                </w:tcPr>
                <w:p w14:paraId="0D57FAD1"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Cs w:val="21"/>
                    </w:rPr>
                    <w:t>4</w:t>
                  </w:r>
                </w:p>
              </w:tc>
              <w:tc>
                <w:tcPr>
                  <w:tcW w:w="3420" w:type="pct"/>
                  <w:vAlign w:val="center"/>
                </w:tcPr>
                <w:p w14:paraId="63C7222F">
                  <w:pPr>
                    <w:tabs>
                      <w:tab w:val="left" w:pos="6915"/>
                    </w:tabs>
                    <w:jc w:val="left"/>
                    <w:rPr>
                      <w:rFonts w:hint="eastAsia" w:ascii="宋体" w:hAnsi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工作频率覆盖1.0-2.0GHz，接口为N型，50欧姆阻抗. 最大插损值0.8dB, 驻波比≤1.4:1, 隔离度是≥17dB，平均功率≥250W。</w:t>
                  </w:r>
                </w:p>
              </w:tc>
            </w:tr>
          </w:tbl>
          <w:p w14:paraId="7E10A170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注：加粗指标需提供关键指标测试报告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3C7440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合同签订后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bCs/>
                <w:szCs w:val="21"/>
              </w:rPr>
              <w:t>个月内将货物送达至甲方指定地点</w:t>
            </w:r>
          </w:p>
          <w:p w14:paraId="47782ED7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合同签订后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预付合同总额的</w:t>
            </w:r>
            <w:r>
              <w:rPr>
                <w:rFonts w:hint="eastAsia" w:ascii="宋体" w:hAnsi="宋体"/>
                <w:bCs/>
                <w:szCs w:val="21"/>
              </w:rPr>
              <w:t>20%，货到验收后凭发票报销时付尾款。</w:t>
            </w:r>
          </w:p>
          <w:p w14:paraId="26A67291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/>
                <w:bCs/>
                <w:szCs w:val="21"/>
              </w:rPr>
              <w:t>按上述规格和要求的技术指标</w:t>
            </w:r>
          </w:p>
          <w:p w14:paraId="092A4660">
            <w:pPr>
              <w:tabs>
                <w:tab w:val="left" w:pos="6915"/>
              </w:tabs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产品质保期为  12  个月，时间自验收合格之日起计算，或者按厂家国家通常三包质保和售后，以两个时间中更长的时间质保。</w:t>
            </w:r>
          </w:p>
          <w:p w14:paraId="0BC7C1A2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其它：报价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时</w:t>
            </w:r>
            <w:r>
              <w:rPr>
                <w:rFonts w:hint="eastAsia" w:ascii="宋体" w:hAnsi="宋体"/>
                <w:b/>
                <w:szCs w:val="21"/>
              </w:rPr>
              <w:t>提供规格书或测试报告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690794C"/>
    <w:rsid w:val="2D070EC5"/>
    <w:rsid w:val="360A3BBE"/>
    <w:rsid w:val="46BB5348"/>
    <w:rsid w:val="51936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961</Words>
  <Characters>1331</Characters>
  <Lines>4</Lines>
  <Paragraphs>1</Paragraphs>
  <TotalTime>0</TotalTime>
  <ScaleCrop>false</ScaleCrop>
  <LinksUpToDate>false</LinksUpToDate>
  <CharactersWithSpaces>1375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2026-01-14T09:44:37Z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eyJoZGlkIjoiN2RlYWI4ZWUzNTBhNTYxZTE1ZDI0ZDliNjg4YTQ3ZjIiLCJ1c2VySWQiOiIxNzc0OTA2Mjk1In0=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