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  <w:shd w:val="clear" w:color="auto" w:fill="FFFFFF"/>
              </w:rPr>
              <w:t>微型数显流量计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0598FFE">
            <w:pPr>
              <w:pStyle w:val="11"/>
              <w:tabs>
                <w:tab w:val="left" w:pos="6915"/>
              </w:tabs>
            </w:pPr>
            <w:bookmarkStart w:id="0" w:name="OLE_LINK2"/>
            <w:r>
              <w:rPr>
                <w:rFonts w:hint="eastAsia"/>
              </w:rPr>
              <w:t>流量监测范围：低流量型号需要覆盖</w:t>
            </w:r>
            <w:r>
              <w:t>0.5-2.5L/min</w:t>
            </w:r>
            <w:r>
              <w:rPr>
                <w:rFonts w:hint="eastAsia"/>
              </w:rPr>
              <w:t>范围内的流量监测</w:t>
            </w:r>
            <w:r>
              <w:t>;</w:t>
            </w:r>
            <w:r>
              <w:rPr>
                <w:rFonts w:hint="eastAsia"/>
              </w:rPr>
              <w:t>高流量型号需要覆盖</w:t>
            </w:r>
            <w:r>
              <w:t>2-15L/min</w:t>
            </w:r>
            <w:r>
              <w:rPr>
                <w:rFonts w:hint="eastAsia"/>
              </w:rPr>
              <w:t>范围内的流量监测；</w:t>
            </w:r>
            <w:bookmarkEnd w:id="0"/>
          </w:p>
          <w:p w14:paraId="46F5D612">
            <w:pPr>
              <w:pStyle w:val="11"/>
              <w:tabs>
                <w:tab w:val="left" w:pos="6915"/>
              </w:tabs>
            </w:pPr>
            <w:r>
              <w:rPr>
                <w:rFonts w:hint="eastAsia"/>
              </w:rPr>
              <w:t>外形尺寸：长度方向</w:t>
            </w:r>
            <w:bookmarkStart w:id="1" w:name="OLE_LINK6"/>
            <w:r>
              <w:rPr>
                <w:rFonts w:hint="eastAsia"/>
              </w:rPr>
              <w:t>不超过</w:t>
            </w:r>
            <w:bookmarkEnd w:id="1"/>
            <w:r>
              <w:rPr>
                <w:rFonts w:hint="eastAsia"/>
              </w:rPr>
              <w:t>200mm，宽度方向不超过60mm，厚度不超过100mm；</w:t>
            </w:r>
          </w:p>
          <w:p w14:paraId="60223F5D">
            <w:pPr>
              <w:pStyle w:val="11"/>
              <w:tabs>
                <w:tab w:val="left" w:pos="6915"/>
              </w:tabs>
            </w:pPr>
            <w:r>
              <w:rPr>
                <w:rFonts w:hint="eastAsia"/>
              </w:rPr>
              <w:t>工作/显示温度：覆盖0-60℃，精度0.5℃，分辨率0.1℃；</w:t>
            </w:r>
          </w:p>
          <w:p w14:paraId="1CE5AFEC">
            <w:pPr>
              <w:pStyle w:val="11"/>
              <w:tabs>
                <w:tab w:val="left" w:pos="6915"/>
              </w:tabs>
              <w:rPr>
                <w:color w:val="auto"/>
              </w:rPr>
            </w:pPr>
            <w:r>
              <w:rPr>
                <w:rFonts w:hint="eastAsia"/>
              </w:rPr>
              <w:t>耐压</w:t>
            </w:r>
            <w:r>
              <w:rPr>
                <w:rFonts w:hint="eastAsia"/>
                <w:color w:val="auto"/>
              </w:rPr>
              <w:t>等级：不低于1.0MP</w:t>
            </w:r>
            <w:r>
              <w:rPr>
                <w:color w:val="auto"/>
              </w:rPr>
              <w:t>a</w:t>
            </w:r>
            <w:r>
              <w:rPr>
                <w:rFonts w:hint="eastAsia"/>
                <w:color w:val="auto"/>
              </w:rPr>
              <w:t>；</w:t>
            </w:r>
          </w:p>
          <w:p w14:paraId="329AC21C">
            <w:pPr>
              <w:pStyle w:val="11"/>
              <w:tabs>
                <w:tab w:val="left" w:pos="6915"/>
              </w:tabs>
              <w:rPr>
                <w:color w:val="auto"/>
              </w:rPr>
            </w:pPr>
            <w:bookmarkStart w:id="2" w:name="OLE_LINK4"/>
            <w:r>
              <w:rPr>
                <w:rFonts w:hint="eastAsia"/>
                <w:color w:val="auto"/>
              </w:rPr>
              <w:t>流量精度：优于显示值±</w:t>
            </w:r>
            <w:r>
              <w:rPr>
                <w:color w:val="auto"/>
              </w:rPr>
              <w:t>3%FS</w:t>
            </w:r>
            <w:r>
              <w:rPr>
                <w:rFonts w:hint="eastAsia"/>
                <w:color w:val="auto"/>
              </w:rPr>
              <w:t>；</w:t>
            </w:r>
          </w:p>
          <w:p w14:paraId="761569AF">
            <w:pPr>
              <w:pStyle w:val="11"/>
              <w:tabs>
                <w:tab w:val="left" w:pos="6915"/>
              </w:tabs>
              <w:rPr>
                <w:color w:val="auto"/>
              </w:rPr>
            </w:pPr>
            <w:r>
              <w:rPr>
                <w:rFonts w:hint="eastAsia"/>
                <w:color w:val="auto"/>
              </w:rPr>
              <w:t>流量调节：具有流量调节功能；</w:t>
            </w:r>
          </w:p>
          <w:bookmarkEnd w:id="2"/>
          <w:p w14:paraId="2E8463A6">
            <w:pPr>
              <w:pStyle w:val="11"/>
              <w:tabs>
                <w:tab w:val="left" w:pos="6915"/>
              </w:tabs>
              <w:rPr>
                <w:color w:val="auto"/>
              </w:rPr>
            </w:pPr>
            <w:r>
              <w:rPr>
                <w:rFonts w:hint="eastAsia"/>
                <w:color w:val="auto"/>
              </w:rPr>
              <w:t>数字显示单元：可查看瞬时流量（本地显示或者远程显示）；</w:t>
            </w:r>
            <w:r>
              <w:rPr>
                <w:color w:val="auto"/>
              </w:rPr>
              <w:t xml:space="preserve"> </w:t>
            </w:r>
          </w:p>
          <w:p w14:paraId="27EFA18F">
            <w:pPr>
              <w:pStyle w:val="11"/>
              <w:tabs>
                <w:tab w:val="left" w:pos="6915"/>
              </w:tabs>
              <w:rPr>
                <w:color w:val="auto"/>
              </w:rPr>
            </w:pPr>
            <w:r>
              <w:rPr>
                <w:rFonts w:hint="eastAsia"/>
                <w:color w:val="auto"/>
              </w:rPr>
              <w:t>管螺纹转接口：覆盖6-10mm通水口径，包含但不限于1/4</w:t>
            </w:r>
            <w:r>
              <w:rPr>
                <w:color w:val="auto"/>
              </w:rPr>
              <w:t>’</w:t>
            </w:r>
            <w:r>
              <w:rPr>
                <w:rFonts w:hint="eastAsia"/>
                <w:color w:val="auto"/>
              </w:rPr>
              <w:t>、</w:t>
            </w:r>
            <w:r>
              <w:rPr>
                <w:color w:val="auto"/>
              </w:rPr>
              <w:t>3/8’</w:t>
            </w:r>
            <w:r>
              <w:rPr>
                <w:rFonts w:hint="eastAsia"/>
                <w:color w:val="auto"/>
              </w:rPr>
              <w:t>和1/2’管螺纹接口；</w:t>
            </w:r>
          </w:p>
          <w:p w14:paraId="2F15C504">
            <w:pPr>
              <w:pStyle w:val="11"/>
              <w:tabs>
                <w:tab w:val="left" w:pos="6915"/>
              </w:tabs>
              <w:rPr>
                <w:color w:val="auto"/>
              </w:rPr>
            </w:pPr>
            <w:r>
              <w:rPr>
                <w:rFonts w:hint="eastAsia"/>
                <w:color w:val="auto"/>
              </w:rPr>
              <w:t>模拟信号输出：供电电压24V直流</w:t>
            </w:r>
            <w:bookmarkStart w:id="3" w:name="OLE_LINK1"/>
            <w:r>
              <w:rPr>
                <w:rFonts w:hint="eastAsia"/>
                <w:color w:val="auto"/>
              </w:rPr>
              <w:t>，</w:t>
            </w:r>
            <w:bookmarkEnd w:id="3"/>
            <w:r>
              <w:rPr>
                <w:rFonts w:hint="eastAsia"/>
                <w:color w:val="auto"/>
              </w:rPr>
              <w:t>具有4-20mA模拟输出接口，具有NPN常闭或常开触点，可切换；</w:t>
            </w:r>
          </w:p>
          <w:p w14:paraId="7133EAA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且可同时输出流量信号和温度信号；</w:t>
            </w:r>
          </w:p>
          <w:p w14:paraId="154C3FD9">
            <w:pPr>
              <w:tabs>
                <w:tab w:val="left" w:pos="6915"/>
              </w:tabs>
              <w:jc w:val="left"/>
              <w:rPr>
                <w:rFonts w:hint="eastAsia"/>
              </w:rPr>
            </w:pPr>
            <w:r>
              <w:rPr>
                <w:rFonts w:hint="eastAsia"/>
                <w:color w:val="auto"/>
              </w:rPr>
              <w:t>产品认证：ISO9001质量认证，且具有C</w:t>
            </w:r>
            <w:r>
              <w:rPr>
                <w:color w:val="auto"/>
              </w:rPr>
              <w:t>E</w:t>
            </w:r>
            <w:r>
              <w:rPr>
                <w:rFonts w:hint="eastAsia"/>
                <w:color w:val="auto"/>
              </w:rPr>
              <w:t>认证或ET</w:t>
            </w:r>
            <w:r>
              <w:rPr>
                <w:rFonts w:hint="eastAsia"/>
              </w:rPr>
              <w:t>L认证中的一个。</w:t>
            </w:r>
          </w:p>
          <w:p w14:paraId="1CAAE395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采购数量：</w:t>
            </w:r>
            <w:r>
              <w:rPr>
                <w:rFonts w:hint="eastAsia"/>
              </w:rPr>
              <w:t>低流量型号200个，高流量型号60个。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ascii="宋体" w:hAnsi="宋体"/>
                <w:b/>
                <w:bCs w:val="0"/>
                <w:szCs w:val="21"/>
              </w:rPr>
              <w:t>交货期</w:t>
            </w:r>
            <w:r>
              <w:rPr>
                <w:rFonts w:hint="eastAsia" w:ascii="宋体" w:hAnsi="宋体"/>
                <w:b/>
                <w:bCs w:val="0"/>
                <w:szCs w:val="21"/>
              </w:rPr>
              <w:t>：</w:t>
            </w:r>
            <w:bookmarkStart w:id="4" w:name="OLE_LINK7"/>
            <w:r>
              <w:rPr>
                <w:rFonts w:hint="eastAsia" w:ascii="宋体" w:hAnsi="宋体"/>
                <w:b w:val="0"/>
                <w:bCs/>
                <w:szCs w:val="21"/>
              </w:rPr>
              <w:t>合同签订后2个月内</w:t>
            </w:r>
            <w:bookmarkEnd w:id="4"/>
            <w:r>
              <w:rPr>
                <w:rFonts w:hint="eastAsia" w:ascii="宋体" w:hAnsi="宋体"/>
                <w:b w:val="0"/>
                <w:bCs/>
                <w:szCs w:val="21"/>
              </w:rPr>
              <w:t>。</w:t>
            </w:r>
          </w:p>
          <w:p w14:paraId="379C6791">
            <w:pPr>
              <w:tabs>
                <w:tab w:val="left" w:pos="6915"/>
              </w:tabs>
              <w:jc w:val="left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ascii="宋体" w:hAnsi="宋体"/>
                <w:b/>
                <w:bCs w:val="0"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bCs w:val="0"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一次性到货</w:t>
            </w:r>
          </w:p>
          <w:p w14:paraId="51D30EB3">
            <w:pPr>
              <w:widowControl/>
              <w:rPr>
                <w:rFonts w:ascii="宋体" w:hAnsi="宋体"/>
                <w:b/>
                <w:bCs w:val="0"/>
                <w:szCs w:val="21"/>
              </w:rPr>
            </w:pPr>
            <w:r>
              <w:rPr>
                <w:rFonts w:ascii="宋体" w:hAnsi="宋体"/>
                <w:b/>
                <w:bCs w:val="0"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bCs w:val="0"/>
                <w:szCs w:val="21"/>
              </w:rPr>
              <w:t>：</w:t>
            </w:r>
          </w:p>
          <w:p w14:paraId="3DF50012">
            <w:pPr>
              <w:widowControl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进口产品：凭发货单据（运单）电汇预付合同总额的5</w:t>
            </w:r>
            <w:r>
              <w:rPr>
                <w:rFonts w:ascii="宋体" w:hAnsi="宋体"/>
                <w:b w:val="0"/>
                <w:bCs/>
                <w:szCs w:val="21"/>
              </w:rPr>
              <w:t>0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%，到货验收合格后30个工作日内付清尾款。</w:t>
            </w:r>
          </w:p>
          <w:p w14:paraId="161F788E">
            <w:pPr>
              <w:widowControl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国产产品：合同签订后预付合同总额的5</w:t>
            </w:r>
            <w:r>
              <w:rPr>
                <w:rFonts w:ascii="宋体" w:hAnsi="宋体"/>
                <w:b w:val="0"/>
                <w:bCs/>
                <w:szCs w:val="21"/>
              </w:rPr>
              <w:t>0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%，</w:t>
            </w:r>
            <w:bookmarkStart w:id="5" w:name="OLE_LINK3"/>
            <w:r>
              <w:rPr>
                <w:rFonts w:hint="eastAsia" w:ascii="宋体" w:hAnsi="宋体"/>
                <w:b w:val="0"/>
                <w:bCs/>
                <w:szCs w:val="21"/>
              </w:rPr>
              <w:t>到货验收合格后30个工作日内付清尾款</w:t>
            </w:r>
            <w:bookmarkEnd w:id="5"/>
            <w:r>
              <w:rPr>
                <w:rFonts w:hint="eastAsia" w:ascii="宋体" w:hAnsi="宋体"/>
                <w:b w:val="0"/>
                <w:bCs/>
                <w:szCs w:val="21"/>
              </w:rPr>
              <w:t>。</w:t>
            </w:r>
          </w:p>
          <w:p w14:paraId="6D36D77A">
            <w:pPr>
              <w:tabs>
                <w:tab w:val="left" w:pos="6915"/>
              </w:tabs>
              <w:jc w:val="left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验收指标及验收要求：</w:t>
            </w:r>
            <w:r>
              <w:rPr>
                <w:rFonts w:hint="eastAsia" w:ascii="宋体" w:hAnsi="宋体"/>
                <w:b/>
                <w:bCs w:val="0"/>
                <w:szCs w:val="21"/>
                <w:lang w:val="en-US" w:eastAsia="zh-CN"/>
              </w:rPr>
              <w:t>1、</w:t>
            </w:r>
            <w:r>
              <w:rPr>
                <w:rFonts w:hint="eastAsia"/>
                <w:b w:val="0"/>
                <w:bCs/>
              </w:rPr>
              <w:t>产品合格证（厂家提供）；</w:t>
            </w:r>
            <w:r>
              <w:rPr>
                <w:rFonts w:hint="eastAsia"/>
                <w:b w:val="0"/>
                <w:bCs/>
                <w:lang w:val="en-US" w:eastAsia="zh-CN"/>
              </w:rPr>
              <w:t>2、</w:t>
            </w:r>
            <w:r>
              <w:rPr>
                <w:rFonts w:hint="eastAsia"/>
                <w:b w:val="0"/>
                <w:bCs/>
              </w:rPr>
              <w:t>流量精度测试报告</w:t>
            </w:r>
            <w:bookmarkStart w:id="6" w:name="OLE_LINK5"/>
            <w:r>
              <w:rPr>
                <w:rFonts w:hint="eastAsia"/>
                <w:b w:val="0"/>
                <w:bCs/>
              </w:rPr>
              <w:t>（厂家提供）</w:t>
            </w:r>
            <w:bookmarkEnd w:id="6"/>
            <w:r>
              <w:rPr>
                <w:rFonts w:hint="eastAsia"/>
                <w:b w:val="0"/>
                <w:bCs/>
              </w:rPr>
              <w:t>。</w:t>
            </w:r>
          </w:p>
          <w:p w14:paraId="60F79242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保修</w:t>
            </w:r>
            <w:r>
              <w:rPr>
                <w:rFonts w:ascii="宋体" w:hAnsi="宋体"/>
                <w:b/>
                <w:bCs w:val="0"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bCs w:val="0"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至少1年质保。</w:t>
            </w:r>
            <w:bookmarkStart w:id="7" w:name="_GoBack"/>
            <w:bookmarkEnd w:id="7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2257AE7"/>
    <w:rsid w:val="0C7718F8"/>
    <w:rsid w:val="2D070EC5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2026-05-25T07:22:38Z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