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9955E">
      <w:pPr>
        <w:jc w:val="center"/>
        <w:rPr>
          <w:sz w:val="36"/>
        </w:rPr>
      </w:pPr>
      <w:r>
        <w:rPr>
          <w:sz w:val="36"/>
        </w:rPr>
        <w:t>中国科学技术大学国家同步辐射实验室</w:t>
      </w:r>
    </w:p>
    <w:p w14:paraId="0973E65B">
      <w:pPr>
        <w:jc w:val="center"/>
        <w:rPr>
          <w:sz w:val="36"/>
        </w:rPr>
      </w:pPr>
      <w:r>
        <w:rPr>
          <w:rFonts w:hint="eastAsia"/>
          <w:sz w:val="36"/>
        </w:rPr>
        <w:t>技术指标供应商确认表</w:t>
      </w:r>
    </w:p>
    <w:p w14:paraId="3E58F52B"/>
    <w:tbl>
      <w:tblPr>
        <w:tblStyle w:val="6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422"/>
        <w:gridCol w:w="5244"/>
        <w:gridCol w:w="1418"/>
        <w:gridCol w:w="992"/>
      </w:tblGrid>
      <w:tr w14:paraId="3979F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705" w:type="dxa"/>
            <w:vAlign w:val="center"/>
          </w:tcPr>
          <w:p w14:paraId="75C250BA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1422" w:type="dxa"/>
            <w:vAlign w:val="center"/>
          </w:tcPr>
          <w:p w14:paraId="3A9FF52B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名称</w:t>
            </w:r>
          </w:p>
        </w:tc>
        <w:tc>
          <w:tcPr>
            <w:tcW w:w="5244" w:type="dxa"/>
            <w:vAlign w:val="center"/>
          </w:tcPr>
          <w:p w14:paraId="258D475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技术指标</w:t>
            </w:r>
          </w:p>
        </w:tc>
        <w:tc>
          <w:tcPr>
            <w:tcW w:w="1418" w:type="dxa"/>
            <w:vAlign w:val="center"/>
          </w:tcPr>
          <w:p w14:paraId="37F7A556">
            <w:pPr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偏离说明</w:t>
            </w:r>
          </w:p>
          <w:p w14:paraId="328E92F5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无偏离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正偏离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负偏离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22A89C1E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>偏离值</w:t>
            </w:r>
          </w:p>
        </w:tc>
      </w:tr>
      <w:tr w14:paraId="39438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</w:trPr>
        <w:tc>
          <w:tcPr>
            <w:tcW w:w="705" w:type="dxa"/>
            <w:vAlign w:val="center"/>
          </w:tcPr>
          <w:p w14:paraId="185CA09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2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10FD52C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光热原位反应装置</w:t>
            </w:r>
          </w:p>
        </w:tc>
        <w:tc>
          <w:tcPr>
            <w:tcW w:w="524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FE0BF59">
            <w:pPr>
              <w:spacing w:line="240" w:lineRule="auto"/>
              <w:ind w:firstLine="482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采购两台光热原位反应装置，其中包括一台发射谱光热原位反应装置，以及一台荧光吸收谱光热原位反应装置。具体技术要求如下：</w:t>
            </w:r>
          </w:p>
          <w:p w14:paraId="6513C6D9">
            <w:pPr>
              <w:spacing w:line="240" w:lineRule="auto"/>
              <w:ind w:firstLine="482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（1）发射谱光热原位反应装置，示意图如图1所示，可实现在线采集同步辐射X射线发射谱，该装置可施加温度场以及压力，从而获取的材料的原位XAS/XES数据。</w:t>
            </w:r>
          </w:p>
          <w:p w14:paraId="76DB6644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drawing>
                <wp:inline distT="0" distB="0" distL="114300" distR="114300">
                  <wp:extent cx="3296920" cy="1931670"/>
                  <wp:effectExtent l="0" t="0" r="17780" b="11430"/>
                  <wp:docPr id="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332" cy="1947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8BA78C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图1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发射谱光热原位反应装置设计示意图</w:t>
            </w:r>
          </w:p>
          <w:p w14:paraId="22FB23F1">
            <w:pPr>
              <w:spacing w:line="240" w:lineRule="auto"/>
              <w:ind w:firstLine="482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主要技术指标见表1：</w:t>
            </w:r>
          </w:p>
          <w:p w14:paraId="4F222234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表1. </w:t>
            </w:r>
            <w:r>
              <w:rPr>
                <w:rFonts w:hint="eastAsia"/>
                <w:sz w:val="22"/>
                <w:szCs w:val="22"/>
              </w:rPr>
              <w:t>发射谱光热原位反应装置</w:t>
            </w:r>
            <w:r>
              <w:rPr>
                <w:sz w:val="22"/>
                <w:szCs w:val="22"/>
              </w:rPr>
              <w:t>主要</w:t>
            </w:r>
            <w:r>
              <w:rPr>
                <w:rFonts w:hint="eastAsia"/>
                <w:sz w:val="22"/>
                <w:szCs w:val="22"/>
              </w:rPr>
              <w:t>技术</w:t>
            </w:r>
            <w:r>
              <w:rPr>
                <w:sz w:val="22"/>
                <w:szCs w:val="22"/>
              </w:rPr>
              <w:t>参数</w:t>
            </w:r>
          </w:p>
          <w:tbl>
            <w:tblPr>
              <w:tblStyle w:val="5"/>
              <w:tblW w:w="4879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194"/>
              <w:gridCol w:w="3685"/>
            </w:tblGrid>
            <w:tr w14:paraId="6DF6BC2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93" w:hRule="atLeast"/>
                <w:tblHeader/>
                <w:jc w:val="center"/>
              </w:trPr>
              <w:tc>
                <w:tcPr>
                  <w:tcW w:w="1194" w:type="dxa"/>
                  <w:tcMar>
                    <w:top w:w="120" w:type="dxa"/>
                    <w:left w:w="0" w:type="dxa"/>
                    <w:bottom w:w="120" w:type="dxa"/>
                    <w:right w:w="192" w:type="dxa"/>
                  </w:tcMar>
                  <w:vAlign w:val="center"/>
                </w:tcPr>
                <w:p w14:paraId="724A0F9B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技术指标</w:t>
                  </w:r>
                </w:p>
              </w:tc>
              <w:tc>
                <w:tcPr>
                  <w:tcW w:w="3685" w:type="dxa"/>
                  <w:tcMar>
                    <w:top w:w="120" w:type="dxa"/>
                    <w:left w:w="192" w:type="dxa"/>
                    <w:bottom w:w="120" w:type="dxa"/>
                    <w:right w:w="192" w:type="dxa"/>
                  </w:tcMar>
                  <w:vAlign w:val="center"/>
                </w:tcPr>
                <w:p w14:paraId="1E4591CA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参数</w:t>
                  </w:r>
                  <w:r>
                    <w:rPr>
                      <w:rFonts w:hint="eastAsia"/>
                      <w:sz w:val="22"/>
                      <w:szCs w:val="22"/>
                    </w:rPr>
                    <w:t>要求</w:t>
                  </w:r>
                </w:p>
              </w:tc>
            </w:tr>
            <w:tr w14:paraId="08BBB55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93" w:hRule="atLeast"/>
                <w:jc w:val="center"/>
              </w:trPr>
              <w:tc>
                <w:tcPr>
                  <w:tcW w:w="1194" w:type="dxa"/>
                  <w:tcMar>
                    <w:top w:w="120" w:type="dxa"/>
                    <w:left w:w="0" w:type="dxa"/>
                    <w:bottom w:w="120" w:type="dxa"/>
                    <w:right w:w="192" w:type="dxa"/>
                  </w:tcMar>
                  <w:vAlign w:val="center"/>
                </w:tcPr>
                <w:p w14:paraId="2D9E540E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材质</w:t>
                  </w:r>
                </w:p>
              </w:tc>
              <w:tc>
                <w:tcPr>
                  <w:tcW w:w="3685" w:type="dxa"/>
                  <w:tcMar>
                    <w:top w:w="120" w:type="dxa"/>
                    <w:left w:w="192" w:type="dxa"/>
                    <w:bottom w:w="120" w:type="dxa"/>
                    <w:right w:w="0" w:type="dxa"/>
                  </w:tcMar>
                  <w:vAlign w:val="center"/>
                </w:tcPr>
                <w:p w14:paraId="2E0B7607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主体316材质</w:t>
                  </w:r>
                </w:p>
              </w:tc>
            </w:tr>
            <w:tr w14:paraId="111FA8C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93" w:hRule="atLeast"/>
                <w:jc w:val="center"/>
              </w:trPr>
              <w:tc>
                <w:tcPr>
                  <w:tcW w:w="1194" w:type="dxa"/>
                  <w:tcMar>
                    <w:top w:w="120" w:type="dxa"/>
                    <w:left w:w="0" w:type="dxa"/>
                    <w:bottom w:w="120" w:type="dxa"/>
                    <w:right w:w="192" w:type="dxa"/>
                  </w:tcMar>
                  <w:vAlign w:val="center"/>
                </w:tcPr>
                <w:p w14:paraId="2427EF45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装载样品直径</w:t>
                  </w:r>
                </w:p>
              </w:tc>
              <w:tc>
                <w:tcPr>
                  <w:tcW w:w="3685" w:type="dxa"/>
                  <w:tcMar>
                    <w:top w:w="120" w:type="dxa"/>
                    <w:left w:w="192" w:type="dxa"/>
                    <w:bottom w:w="120" w:type="dxa"/>
                    <w:right w:w="0" w:type="dxa"/>
                  </w:tcMar>
                  <w:vAlign w:val="center"/>
                </w:tcPr>
                <w:p w14:paraId="2B12F3CC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≥1</w:t>
                  </w:r>
                  <w:r>
                    <w:rPr>
                      <w:sz w:val="22"/>
                      <w:szCs w:val="22"/>
                    </w:rPr>
                    <w:t>0</w:t>
                  </w:r>
                  <w:r>
                    <w:rPr>
                      <w:rFonts w:hint="eastAsia"/>
                      <w:sz w:val="22"/>
                      <w:szCs w:val="22"/>
                    </w:rPr>
                    <w:t>mm</w:t>
                  </w:r>
                </w:p>
              </w:tc>
            </w:tr>
            <w:tr w14:paraId="1157F6C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93" w:hRule="atLeast"/>
                <w:jc w:val="center"/>
              </w:trPr>
              <w:tc>
                <w:tcPr>
                  <w:tcW w:w="1194" w:type="dxa"/>
                  <w:tcMar>
                    <w:top w:w="120" w:type="dxa"/>
                    <w:left w:w="0" w:type="dxa"/>
                    <w:bottom w:w="120" w:type="dxa"/>
                    <w:right w:w="192" w:type="dxa"/>
                  </w:tcMar>
                  <w:vAlign w:val="center"/>
                </w:tcPr>
                <w:p w14:paraId="0699F78B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窗口通光尺寸</w:t>
                  </w:r>
                </w:p>
              </w:tc>
              <w:tc>
                <w:tcPr>
                  <w:tcW w:w="3685" w:type="dxa"/>
                  <w:tcMar>
                    <w:top w:w="120" w:type="dxa"/>
                    <w:left w:w="192" w:type="dxa"/>
                    <w:bottom w:w="120" w:type="dxa"/>
                    <w:right w:w="0" w:type="dxa"/>
                  </w:tcMar>
                  <w:vAlign w:val="center"/>
                </w:tcPr>
                <w:p w14:paraId="5BBA3389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8~10mm</w:t>
                  </w:r>
                </w:p>
              </w:tc>
            </w:tr>
            <w:tr w14:paraId="5289DD1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93" w:hRule="atLeast"/>
                <w:jc w:val="center"/>
              </w:trPr>
              <w:tc>
                <w:tcPr>
                  <w:tcW w:w="1194" w:type="dxa"/>
                  <w:tcMar>
                    <w:top w:w="120" w:type="dxa"/>
                    <w:left w:w="0" w:type="dxa"/>
                    <w:bottom w:w="120" w:type="dxa"/>
                    <w:right w:w="192" w:type="dxa"/>
                  </w:tcMar>
                  <w:vAlign w:val="center"/>
                </w:tcPr>
                <w:p w14:paraId="76A2C1E6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窗口材质</w:t>
                  </w:r>
                </w:p>
              </w:tc>
              <w:tc>
                <w:tcPr>
                  <w:tcW w:w="3685" w:type="dxa"/>
                  <w:tcMar>
                    <w:top w:w="120" w:type="dxa"/>
                    <w:left w:w="192" w:type="dxa"/>
                    <w:bottom w:w="120" w:type="dxa"/>
                    <w:right w:w="0" w:type="dxa"/>
                  </w:tcMar>
                  <w:vAlign w:val="center"/>
                </w:tcPr>
                <w:p w14:paraId="5CF588B1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铍半球窗，铍金属，2N级，半精车球面加工</w:t>
                  </w:r>
                </w:p>
              </w:tc>
            </w:tr>
            <w:tr w14:paraId="585DFD1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93" w:hRule="atLeast"/>
                <w:jc w:val="center"/>
              </w:trPr>
              <w:tc>
                <w:tcPr>
                  <w:tcW w:w="1194" w:type="dxa"/>
                  <w:tcMar>
                    <w:top w:w="120" w:type="dxa"/>
                    <w:left w:w="0" w:type="dxa"/>
                    <w:bottom w:w="120" w:type="dxa"/>
                    <w:right w:w="192" w:type="dxa"/>
                  </w:tcMar>
                  <w:vAlign w:val="center"/>
                </w:tcPr>
                <w:p w14:paraId="0DF4BA8B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荧光收集张角</w:t>
                  </w:r>
                </w:p>
              </w:tc>
              <w:tc>
                <w:tcPr>
                  <w:tcW w:w="3685" w:type="dxa"/>
                  <w:tcMar>
                    <w:top w:w="120" w:type="dxa"/>
                    <w:left w:w="192" w:type="dxa"/>
                    <w:bottom w:w="120" w:type="dxa"/>
                    <w:right w:w="0" w:type="dxa"/>
                  </w:tcMar>
                  <w:vAlign w:val="center"/>
                </w:tcPr>
                <w:p w14:paraId="00A51688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≥15</w:t>
                  </w:r>
                  <w:r>
                    <w:rPr>
                      <w:sz w:val="22"/>
                      <w:szCs w:val="22"/>
                    </w:rPr>
                    <w:t>0°</w:t>
                  </w:r>
                </w:p>
              </w:tc>
            </w:tr>
            <w:tr w14:paraId="7902CB3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93" w:hRule="atLeast"/>
                <w:jc w:val="center"/>
              </w:trPr>
              <w:tc>
                <w:tcPr>
                  <w:tcW w:w="1194" w:type="dxa"/>
                  <w:tcMar>
                    <w:top w:w="120" w:type="dxa"/>
                    <w:left w:w="0" w:type="dxa"/>
                    <w:bottom w:w="120" w:type="dxa"/>
                    <w:right w:w="192" w:type="dxa"/>
                  </w:tcMar>
                  <w:vAlign w:val="center"/>
                </w:tcPr>
                <w:p w14:paraId="28C2BF69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温度指标</w:t>
                  </w:r>
                </w:p>
              </w:tc>
              <w:tc>
                <w:tcPr>
                  <w:tcW w:w="3685" w:type="dxa"/>
                  <w:tcMar>
                    <w:top w:w="120" w:type="dxa"/>
                    <w:left w:w="192" w:type="dxa"/>
                    <w:bottom w:w="120" w:type="dxa"/>
                    <w:right w:w="0" w:type="dxa"/>
                  </w:tcMar>
                  <w:vAlign w:val="center"/>
                </w:tcPr>
                <w:p w14:paraId="5235E799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最高设计温度≥700℃，控温精度±1°</w:t>
                  </w:r>
                </w:p>
              </w:tc>
            </w:tr>
            <w:tr w14:paraId="3151AAC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93" w:hRule="atLeast"/>
                <w:jc w:val="center"/>
              </w:trPr>
              <w:tc>
                <w:tcPr>
                  <w:tcW w:w="1194" w:type="dxa"/>
                  <w:tcMar>
                    <w:top w:w="120" w:type="dxa"/>
                    <w:left w:w="0" w:type="dxa"/>
                    <w:bottom w:w="120" w:type="dxa"/>
                    <w:right w:w="192" w:type="dxa"/>
                  </w:tcMar>
                  <w:vAlign w:val="center"/>
                </w:tcPr>
                <w:p w14:paraId="7B3B2019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压力指标</w:t>
                  </w:r>
                </w:p>
              </w:tc>
              <w:tc>
                <w:tcPr>
                  <w:tcW w:w="3685" w:type="dxa"/>
                  <w:tcMar>
                    <w:top w:w="120" w:type="dxa"/>
                    <w:left w:w="192" w:type="dxa"/>
                    <w:bottom w:w="120" w:type="dxa"/>
                    <w:right w:w="0" w:type="dxa"/>
                  </w:tcMar>
                  <w:vAlign w:val="center"/>
                </w:tcPr>
                <w:p w14:paraId="264B498F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最大</w:t>
                  </w:r>
                  <w:r>
                    <w:rPr>
                      <w:rFonts w:hint="eastAsia"/>
                      <w:sz w:val="22"/>
                      <w:szCs w:val="22"/>
                    </w:rPr>
                    <w:t>设计压力≥</w:t>
                  </w:r>
                  <w:r>
                    <w:rPr>
                      <w:sz w:val="22"/>
                      <w:szCs w:val="22"/>
                    </w:rPr>
                    <w:t>1</w:t>
                  </w:r>
                  <w:r>
                    <w:rPr>
                      <w:rFonts w:hint="eastAsia"/>
                      <w:sz w:val="22"/>
                      <w:szCs w:val="22"/>
                    </w:rPr>
                    <w:t>MP</w:t>
                  </w:r>
                  <w:r>
                    <w:rPr>
                      <w:sz w:val="22"/>
                      <w:szCs w:val="22"/>
                    </w:rPr>
                    <w:t>a</w:t>
                  </w:r>
                </w:p>
              </w:tc>
            </w:tr>
            <w:tr w14:paraId="1DEBCF7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93" w:hRule="atLeast"/>
                <w:jc w:val="center"/>
              </w:trPr>
              <w:tc>
                <w:tcPr>
                  <w:tcW w:w="1194" w:type="dxa"/>
                  <w:tcMar>
                    <w:top w:w="120" w:type="dxa"/>
                    <w:left w:w="0" w:type="dxa"/>
                    <w:bottom w:w="120" w:type="dxa"/>
                    <w:right w:w="192" w:type="dxa"/>
                  </w:tcMar>
                  <w:vAlign w:val="center"/>
                </w:tcPr>
                <w:p w14:paraId="25112DC5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设备冷却方式</w:t>
                  </w:r>
                </w:p>
              </w:tc>
              <w:tc>
                <w:tcPr>
                  <w:tcW w:w="3685" w:type="dxa"/>
                  <w:tcMar>
                    <w:top w:w="120" w:type="dxa"/>
                    <w:left w:w="192" w:type="dxa"/>
                    <w:bottom w:w="120" w:type="dxa"/>
                    <w:right w:w="0" w:type="dxa"/>
                  </w:tcMar>
                  <w:vAlign w:val="center"/>
                </w:tcPr>
                <w:p w14:paraId="1F15AF1E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循环水冷，外壳壳体温度≤60℃</w:t>
                  </w:r>
                </w:p>
              </w:tc>
            </w:tr>
            <w:tr w14:paraId="095961D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93" w:hRule="atLeast"/>
                <w:jc w:val="center"/>
              </w:trPr>
              <w:tc>
                <w:tcPr>
                  <w:tcW w:w="1194" w:type="dxa"/>
                  <w:tcMar>
                    <w:top w:w="120" w:type="dxa"/>
                    <w:left w:w="0" w:type="dxa"/>
                    <w:bottom w:w="120" w:type="dxa"/>
                    <w:right w:w="192" w:type="dxa"/>
                  </w:tcMar>
                  <w:vAlign w:val="center"/>
                </w:tcPr>
                <w:p w14:paraId="7A83D416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测温传感器</w:t>
                  </w:r>
                </w:p>
              </w:tc>
              <w:tc>
                <w:tcPr>
                  <w:tcW w:w="3685" w:type="dxa"/>
                  <w:tcMar>
                    <w:top w:w="120" w:type="dxa"/>
                    <w:left w:w="192" w:type="dxa"/>
                    <w:bottom w:w="120" w:type="dxa"/>
                    <w:right w:w="0" w:type="dxa"/>
                  </w:tcMar>
                  <w:vAlign w:val="center"/>
                </w:tcPr>
                <w:p w14:paraId="2E6C3C7D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配备热电偶测温</w:t>
                  </w:r>
                </w:p>
              </w:tc>
            </w:tr>
            <w:tr w14:paraId="1B08A37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501" w:hRule="atLeast"/>
                <w:jc w:val="center"/>
              </w:trPr>
              <w:tc>
                <w:tcPr>
                  <w:tcW w:w="1194" w:type="dxa"/>
                  <w:tcMar>
                    <w:top w:w="120" w:type="dxa"/>
                    <w:left w:w="0" w:type="dxa"/>
                    <w:bottom w:w="120" w:type="dxa"/>
                    <w:right w:w="192" w:type="dxa"/>
                  </w:tcMar>
                  <w:vAlign w:val="center"/>
                </w:tcPr>
                <w:p w14:paraId="450BA4E3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其他</w:t>
                  </w:r>
                  <w:r>
                    <w:rPr>
                      <w:sz w:val="22"/>
                      <w:szCs w:val="22"/>
                    </w:rPr>
                    <w:t>接口配置</w:t>
                  </w:r>
                </w:p>
              </w:tc>
              <w:tc>
                <w:tcPr>
                  <w:tcW w:w="3685" w:type="dxa"/>
                  <w:tcMar>
                    <w:top w:w="120" w:type="dxa"/>
                    <w:left w:w="192" w:type="dxa"/>
                    <w:bottom w:w="120" w:type="dxa"/>
                    <w:right w:w="0" w:type="dxa"/>
                  </w:tcMar>
                  <w:vAlign w:val="center"/>
                </w:tcPr>
                <w:p w14:paraId="6AC1773F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进出液口、</w:t>
                  </w:r>
                  <w:r>
                    <w:rPr>
                      <w:rFonts w:hint="eastAsia"/>
                      <w:sz w:val="22"/>
                      <w:szCs w:val="22"/>
                    </w:rPr>
                    <w:t>热电偶接口</w:t>
                  </w:r>
                  <w:r>
                    <w:rPr>
                      <w:sz w:val="22"/>
                      <w:szCs w:val="22"/>
                    </w:rPr>
                    <w:t>、</w:t>
                  </w:r>
                  <w:r>
                    <w:rPr>
                      <w:rFonts w:hint="eastAsia"/>
                      <w:sz w:val="22"/>
                      <w:szCs w:val="22"/>
                    </w:rPr>
                    <w:t>加热接口，气体进出口</w:t>
                  </w:r>
                </w:p>
              </w:tc>
            </w:tr>
          </w:tbl>
          <w:p w14:paraId="232B2132">
            <w:pPr>
              <w:spacing w:line="240" w:lineRule="auto"/>
              <w:rPr>
                <w:sz w:val="22"/>
                <w:szCs w:val="22"/>
              </w:rPr>
            </w:pPr>
          </w:p>
          <w:p w14:paraId="4ADCFDC6">
            <w:pPr>
              <w:spacing w:line="240" w:lineRule="auto"/>
              <w:ind w:firstLine="482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</w:t>
            </w:r>
            <w:r>
              <w:rPr>
                <w:sz w:val="22"/>
                <w:szCs w:val="22"/>
              </w:rPr>
              <w:t>2</w:t>
            </w:r>
            <w:r>
              <w:rPr>
                <w:rFonts w:hint="eastAsia"/>
                <w:sz w:val="22"/>
                <w:szCs w:val="22"/>
              </w:rPr>
              <w:t>）荧光吸收谱光热原位反应装置，示意图如图</w:t>
            </w:r>
            <w:r>
              <w:rPr>
                <w:sz w:val="22"/>
                <w:szCs w:val="22"/>
              </w:rPr>
              <w:t>2</w:t>
            </w:r>
            <w:r>
              <w:rPr>
                <w:rFonts w:hint="eastAsia"/>
                <w:sz w:val="22"/>
                <w:szCs w:val="22"/>
              </w:rPr>
              <w:t>所示，可实现气固相光催化、热催化实验，可同步引入光照、升温、气氛环境，原位采集样品荧光XAFS谱图。</w:t>
            </w:r>
          </w:p>
          <w:p w14:paraId="1B007F4B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 w:eastAsia="楷体"/>
              </w:rPr>
              <w:drawing>
                <wp:inline distT="0" distB="0" distL="0" distR="0">
                  <wp:extent cx="3447415" cy="2159635"/>
                  <wp:effectExtent l="0" t="0" r="635" b="12065"/>
                  <wp:docPr id="601067695" name="图片 1" descr="212f14b19b0428bd6fc54771bd5a31b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1067695" name="图片 1" descr="212f14b19b0428bd6fc54771bd5a31b7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7692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2020AE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图</w:t>
            </w:r>
            <w:r>
              <w:rPr>
                <w:sz w:val="22"/>
                <w:szCs w:val="22"/>
              </w:rPr>
              <w:t xml:space="preserve">2 </w:t>
            </w:r>
            <w:r>
              <w:rPr>
                <w:rFonts w:hint="eastAsia"/>
                <w:sz w:val="22"/>
                <w:szCs w:val="22"/>
              </w:rPr>
              <w:t>荧光吸收谱光热原位反应装置设计示意图</w:t>
            </w:r>
          </w:p>
          <w:p w14:paraId="5492BB81">
            <w:pPr>
              <w:spacing w:line="240" w:lineRule="auto"/>
              <w:ind w:firstLine="482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主要技术指标见表</w:t>
            </w:r>
            <w:r>
              <w:rPr>
                <w:sz w:val="22"/>
                <w:szCs w:val="22"/>
              </w:rPr>
              <w:t>2</w:t>
            </w:r>
            <w:r>
              <w:rPr>
                <w:rFonts w:hint="eastAsia"/>
                <w:sz w:val="22"/>
                <w:szCs w:val="22"/>
              </w:rPr>
              <w:t>：</w:t>
            </w:r>
          </w:p>
          <w:p w14:paraId="1C302D4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表2. </w:t>
            </w:r>
            <w:r>
              <w:rPr>
                <w:rFonts w:hint="eastAsia"/>
                <w:sz w:val="22"/>
                <w:szCs w:val="22"/>
              </w:rPr>
              <w:t>荧光吸收谱光热原位反应装置</w:t>
            </w:r>
            <w:r>
              <w:rPr>
                <w:sz w:val="22"/>
                <w:szCs w:val="22"/>
              </w:rPr>
              <w:t>主要</w:t>
            </w:r>
            <w:r>
              <w:rPr>
                <w:rFonts w:hint="eastAsia"/>
                <w:sz w:val="22"/>
                <w:szCs w:val="22"/>
              </w:rPr>
              <w:t>技术</w:t>
            </w:r>
            <w:r>
              <w:rPr>
                <w:sz w:val="22"/>
                <w:szCs w:val="22"/>
              </w:rPr>
              <w:t>参数</w:t>
            </w:r>
          </w:p>
          <w:tbl>
            <w:tblPr>
              <w:tblStyle w:val="5"/>
              <w:tblW w:w="4499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101"/>
              <w:gridCol w:w="3398"/>
            </w:tblGrid>
            <w:tr w14:paraId="13AF9A5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85" w:hRule="atLeast"/>
                <w:tblHeader/>
                <w:jc w:val="center"/>
              </w:trPr>
              <w:tc>
                <w:tcPr>
                  <w:tcW w:w="1101" w:type="dxa"/>
                  <w:tcMar>
                    <w:top w:w="120" w:type="dxa"/>
                    <w:left w:w="0" w:type="dxa"/>
                    <w:bottom w:w="120" w:type="dxa"/>
                    <w:right w:w="192" w:type="dxa"/>
                  </w:tcMar>
                  <w:vAlign w:val="center"/>
                </w:tcPr>
                <w:p w14:paraId="7F463929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技术指标</w:t>
                  </w:r>
                </w:p>
              </w:tc>
              <w:tc>
                <w:tcPr>
                  <w:tcW w:w="3398" w:type="dxa"/>
                  <w:tcMar>
                    <w:top w:w="120" w:type="dxa"/>
                    <w:left w:w="192" w:type="dxa"/>
                    <w:bottom w:w="120" w:type="dxa"/>
                    <w:right w:w="192" w:type="dxa"/>
                  </w:tcMar>
                  <w:vAlign w:val="center"/>
                </w:tcPr>
                <w:p w14:paraId="440BCC76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参数</w:t>
                  </w:r>
                  <w:r>
                    <w:rPr>
                      <w:rFonts w:hint="eastAsia"/>
                      <w:sz w:val="22"/>
                      <w:szCs w:val="22"/>
                    </w:rPr>
                    <w:t>要求</w:t>
                  </w:r>
                </w:p>
              </w:tc>
            </w:tr>
            <w:tr w14:paraId="67549F2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818" w:hRule="atLeast"/>
                <w:jc w:val="center"/>
              </w:trPr>
              <w:tc>
                <w:tcPr>
                  <w:tcW w:w="1101" w:type="dxa"/>
                  <w:tcMar>
                    <w:top w:w="120" w:type="dxa"/>
                    <w:left w:w="0" w:type="dxa"/>
                    <w:bottom w:w="120" w:type="dxa"/>
                    <w:right w:w="192" w:type="dxa"/>
                  </w:tcMar>
                </w:tcPr>
                <w:p w14:paraId="52C1D746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</w:rPr>
                    <w:t>荧光接收张角</w:t>
                  </w:r>
                </w:p>
              </w:tc>
              <w:tc>
                <w:tcPr>
                  <w:tcW w:w="3398" w:type="dxa"/>
                  <w:tcMar>
                    <w:top w:w="120" w:type="dxa"/>
                    <w:left w:w="192" w:type="dxa"/>
                    <w:bottom w:w="120" w:type="dxa"/>
                    <w:right w:w="0" w:type="dxa"/>
                  </w:tcMar>
                </w:tcPr>
                <w:p w14:paraId="716C6B13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</w:rPr>
                    <w:t>≥45°</w:t>
                  </w:r>
                </w:p>
              </w:tc>
            </w:tr>
            <w:tr w14:paraId="1F336C6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82" w:hRule="atLeast"/>
                <w:jc w:val="center"/>
              </w:trPr>
              <w:tc>
                <w:tcPr>
                  <w:tcW w:w="1101" w:type="dxa"/>
                  <w:tcMar>
                    <w:top w:w="120" w:type="dxa"/>
                    <w:left w:w="0" w:type="dxa"/>
                    <w:bottom w:w="120" w:type="dxa"/>
                    <w:right w:w="192" w:type="dxa"/>
                  </w:tcMar>
                </w:tcPr>
                <w:p w14:paraId="346A80B2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</w:rPr>
                    <w:t>温度指标</w:t>
                  </w:r>
                </w:p>
              </w:tc>
              <w:tc>
                <w:tcPr>
                  <w:tcW w:w="3398" w:type="dxa"/>
                  <w:tcMar>
                    <w:top w:w="120" w:type="dxa"/>
                    <w:left w:w="192" w:type="dxa"/>
                    <w:bottom w:w="120" w:type="dxa"/>
                    <w:right w:w="0" w:type="dxa"/>
                  </w:tcMar>
                </w:tcPr>
                <w:p w14:paraId="74D80B38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</w:rPr>
                    <w:t>最高设计温度≥</w:t>
                  </w:r>
                  <w:r>
                    <w:t>5</w:t>
                  </w:r>
                  <w:r>
                    <w:rPr>
                      <w:rFonts w:hint="eastAsia"/>
                    </w:rPr>
                    <w:t>00℃，控温精度±1°</w:t>
                  </w:r>
                </w:p>
              </w:tc>
            </w:tr>
            <w:tr w14:paraId="27CAEF2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818" w:hRule="atLeast"/>
                <w:jc w:val="center"/>
              </w:trPr>
              <w:tc>
                <w:tcPr>
                  <w:tcW w:w="1101" w:type="dxa"/>
                  <w:tcMar>
                    <w:top w:w="120" w:type="dxa"/>
                    <w:left w:w="0" w:type="dxa"/>
                    <w:bottom w:w="120" w:type="dxa"/>
                    <w:right w:w="192" w:type="dxa"/>
                  </w:tcMar>
                </w:tcPr>
                <w:p w14:paraId="12D1F459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</w:rPr>
                    <w:t>设备主体材质</w:t>
                  </w:r>
                </w:p>
              </w:tc>
              <w:tc>
                <w:tcPr>
                  <w:tcW w:w="3398" w:type="dxa"/>
                  <w:tcMar>
                    <w:top w:w="120" w:type="dxa"/>
                    <w:left w:w="192" w:type="dxa"/>
                    <w:bottom w:w="120" w:type="dxa"/>
                    <w:right w:w="0" w:type="dxa"/>
                  </w:tcMar>
                </w:tcPr>
                <w:p w14:paraId="1B97C0C4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</w:rPr>
                    <w:t>耐腐蚀不锈钢</w:t>
                  </w:r>
                </w:p>
              </w:tc>
            </w:tr>
            <w:tr w14:paraId="446C560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82" w:hRule="atLeast"/>
                <w:jc w:val="center"/>
              </w:trPr>
              <w:tc>
                <w:tcPr>
                  <w:tcW w:w="1101" w:type="dxa"/>
                  <w:tcMar>
                    <w:top w:w="120" w:type="dxa"/>
                    <w:left w:w="0" w:type="dxa"/>
                    <w:bottom w:w="120" w:type="dxa"/>
                    <w:right w:w="192" w:type="dxa"/>
                  </w:tcMar>
                </w:tcPr>
                <w:p w14:paraId="2F457DBE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</w:rPr>
                    <w:t>光照窗口</w:t>
                  </w:r>
                </w:p>
              </w:tc>
              <w:tc>
                <w:tcPr>
                  <w:tcW w:w="3398" w:type="dxa"/>
                  <w:tcMar>
                    <w:top w:w="120" w:type="dxa"/>
                    <w:left w:w="192" w:type="dxa"/>
                    <w:bottom w:w="120" w:type="dxa"/>
                    <w:right w:w="0" w:type="dxa"/>
                  </w:tcMar>
                </w:tcPr>
                <w:p w14:paraId="17F59BF2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</w:rPr>
                    <w:t>石英材质，通光孔径≥20 mm</w:t>
                  </w:r>
                </w:p>
              </w:tc>
            </w:tr>
            <w:tr w14:paraId="290235E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818" w:hRule="atLeast"/>
                <w:jc w:val="center"/>
              </w:trPr>
              <w:tc>
                <w:tcPr>
                  <w:tcW w:w="1101" w:type="dxa"/>
                  <w:tcMar>
                    <w:top w:w="120" w:type="dxa"/>
                    <w:left w:w="0" w:type="dxa"/>
                    <w:bottom w:w="120" w:type="dxa"/>
                    <w:right w:w="192" w:type="dxa"/>
                  </w:tcMar>
                </w:tcPr>
                <w:p w14:paraId="0B2E00F9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</w:rPr>
                    <w:t>X 射线检测窗口膜</w:t>
                  </w:r>
                </w:p>
              </w:tc>
              <w:tc>
                <w:tcPr>
                  <w:tcW w:w="3398" w:type="dxa"/>
                  <w:tcMar>
                    <w:top w:w="120" w:type="dxa"/>
                    <w:left w:w="192" w:type="dxa"/>
                    <w:bottom w:w="120" w:type="dxa"/>
                    <w:right w:w="0" w:type="dxa"/>
                  </w:tcMar>
                </w:tcPr>
                <w:p w14:paraId="7EE81889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</w:rPr>
                    <w:t>Kapton膜，可拆卸更换</w:t>
                  </w:r>
                </w:p>
              </w:tc>
            </w:tr>
            <w:tr w14:paraId="7FC2722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818" w:hRule="atLeast"/>
                <w:jc w:val="center"/>
              </w:trPr>
              <w:tc>
                <w:tcPr>
                  <w:tcW w:w="1101" w:type="dxa"/>
                  <w:tcMar>
                    <w:top w:w="120" w:type="dxa"/>
                    <w:left w:w="0" w:type="dxa"/>
                    <w:bottom w:w="120" w:type="dxa"/>
                    <w:right w:w="192" w:type="dxa"/>
                  </w:tcMar>
                </w:tcPr>
                <w:p w14:paraId="54DBD688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</w:rPr>
                    <w:t>样品加热固定方式</w:t>
                  </w:r>
                </w:p>
              </w:tc>
              <w:tc>
                <w:tcPr>
                  <w:tcW w:w="3398" w:type="dxa"/>
                  <w:tcMar>
                    <w:top w:w="120" w:type="dxa"/>
                    <w:left w:w="192" w:type="dxa"/>
                    <w:bottom w:w="120" w:type="dxa"/>
                    <w:right w:w="0" w:type="dxa"/>
                  </w:tcMar>
                </w:tcPr>
                <w:p w14:paraId="10C20EE7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</w:rPr>
                    <w:t>样品架直热式，样品压片放置</w:t>
                  </w:r>
                </w:p>
              </w:tc>
            </w:tr>
            <w:tr w14:paraId="04F2058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818" w:hRule="atLeast"/>
                <w:jc w:val="center"/>
              </w:trPr>
              <w:tc>
                <w:tcPr>
                  <w:tcW w:w="1101" w:type="dxa"/>
                  <w:tcMar>
                    <w:top w:w="120" w:type="dxa"/>
                    <w:left w:w="0" w:type="dxa"/>
                    <w:bottom w:w="120" w:type="dxa"/>
                    <w:right w:w="192" w:type="dxa"/>
                  </w:tcMar>
                </w:tcPr>
                <w:p w14:paraId="61A34CBD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</w:rPr>
                    <w:t>装载样品直径</w:t>
                  </w:r>
                </w:p>
              </w:tc>
              <w:tc>
                <w:tcPr>
                  <w:tcW w:w="3398" w:type="dxa"/>
                  <w:tcMar>
                    <w:top w:w="120" w:type="dxa"/>
                    <w:left w:w="192" w:type="dxa"/>
                    <w:bottom w:w="120" w:type="dxa"/>
                    <w:right w:w="0" w:type="dxa"/>
                  </w:tcMar>
                </w:tcPr>
                <w:p w14:paraId="50C3DC94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</w:rPr>
                    <w:t>≥1</w:t>
                  </w:r>
                  <w:r>
                    <w:t>0</w:t>
                  </w:r>
                  <w:r>
                    <w:rPr>
                      <w:rFonts w:hint="eastAsia"/>
                    </w:rPr>
                    <w:t xml:space="preserve"> mm</w:t>
                  </w:r>
                </w:p>
              </w:tc>
            </w:tr>
            <w:tr w14:paraId="1637F61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818" w:hRule="atLeast"/>
                <w:jc w:val="center"/>
              </w:trPr>
              <w:tc>
                <w:tcPr>
                  <w:tcW w:w="1101" w:type="dxa"/>
                  <w:tcMar>
                    <w:top w:w="120" w:type="dxa"/>
                    <w:left w:w="0" w:type="dxa"/>
                    <w:bottom w:w="120" w:type="dxa"/>
                    <w:right w:w="192" w:type="dxa"/>
                  </w:tcMar>
                </w:tcPr>
                <w:p w14:paraId="53CA5412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</w:rPr>
                    <w:t>设备冷却方式</w:t>
                  </w:r>
                </w:p>
              </w:tc>
              <w:tc>
                <w:tcPr>
                  <w:tcW w:w="3398" w:type="dxa"/>
                  <w:tcMar>
                    <w:top w:w="120" w:type="dxa"/>
                    <w:left w:w="192" w:type="dxa"/>
                    <w:bottom w:w="120" w:type="dxa"/>
                    <w:right w:w="0" w:type="dxa"/>
                  </w:tcMar>
                </w:tcPr>
                <w:p w14:paraId="14081C72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</w:rPr>
                    <w:t>循环水冷，外壳壳体温度≤60℃</w:t>
                  </w:r>
                </w:p>
              </w:tc>
            </w:tr>
            <w:tr w14:paraId="3948276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82" w:hRule="atLeast"/>
                <w:jc w:val="center"/>
              </w:trPr>
              <w:tc>
                <w:tcPr>
                  <w:tcW w:w="1101" w:type="dxa"/>
                  <w:tcMar>
                    <w:top w:w="120" w:type="dxa"/>
                    <w:left w:w="0" w:type="dxa"/>
                    <w:bottom w:w="120" w:type="dxa"/>
                    <w:right w:w="192" w:type="dxa"/>
                  </w:tcMar>
                </w:tcPr>
                <w:p w14:paraId="7BE89E6D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</w:rPr>
                    <w:t>气密性设计</w:t>
                  </w:r>
                </w:p>
              </w:tc>
              <w:tc>
                <w:tcPr>
                  <w:tcW w:w="3398" w:type="dxa"/>
                  <w:tcMar>
                    <w:top w:w="120" w:type="dxa"/>
                    <w:left w:w="192" w:type="dxa"/>
                    <w:bottom w:w="120" w:type="dxa"/>
                    <w:right w:w="0" w:type="dxa"/>
                  </w:tcMar>
                </w:tcPr>
                <w:p w14:paraId="2612C624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</w:rPr>
                    <w:t>整机全密封，适配气固相连续气氛反应</w:t>
                  </w:r>
                </w:p>
              </w:tc>
            </w:tr>
            <w:tr w14:paraId="6D4F852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828" w:hRule="atLeast"/>
                <w:jc w:val="center"/>
              </w:trPr>
              <w:tc>
                <w:tcPr>
                  <w:tcW w:w="1101" w:type="dxa"/>
                  <w:tcMar>
                    <w:top w:w="120" w:type="dxa"/>
                    <w:left w:w="0" w:type="dxa"/>
                    <w:bottom w:w="120" w:type="dxa"/>
                    <w:right w:w="192" w:type="dxa"/>
                  </w:tcMar>
                </w:tcPr>
                <w:p w14:paraId="201B4E9E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</w:rPr>
                    <w:t>配套接口</w:t>
                  </w:r>
                </w:p>
              </w:tc>
              <w:tc>
                <w:tcPr>
                  <w:tcW w:w="3398" w:type="dxa"/>
                  <w:tcMar>
                    <w:top w:w="120" w:type="dxa"/>
                    <w:left w:w="192" w:type="dxa"/>
                    <w:bottom w:w="120" w:type="dxa"/>
                    <w:right w:w="0" w:type="dxa"/>
                  </w:tcMar>
                </w:tcPr>
                <w:p w14:paraId="52A3B47A">
                  <w:pPr>
                    <w:widowControl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</w:rPr>
                    <w:t>水冷进出水口、气路进出口、电路控制接口、紫外光源入射口</w:t>
                  </w:r>
                </w:p>
              </w:tc>
            </w:tr>
          </w:tbl>
          <w:p w14:paraId="36D22F62">
            <w:pPr>
              <w:pStyle w:val="11"/>
              <w:numPr>
                <w:ilvl w:val="0"/>
                <w:numId w:val="0"/>
              </w:numPr>
              <w:ind w:left="360" w:leftChars="0" w:hanging="360" w:firstLineChars="0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205FF5AB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1C60665B">
            <w:pPr>
              <w:spacing w:line="240" w:lineRule="atLeast"/>
              <w:jc w:val="center"/>
            </w:pPr>
          </w:p>
        </w:tc>
      </w:tr>
      <w:tr w14:paraId="497EA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</w:trPr>
        <w:tc>
          <w:tcPr>
            <w:tcW w:w="705" w:type="dxa"/>
            <w:vAlign w:val="center"/>
          </w:tcPr>
          <w:p w14:paraId="21D5CC9B">
            <w:pPr>
              <w:spacing w:line="240" w:lineRule="atLeast"/>
              <w:jc w:val="center"/>
            </w:pPr>
            <w:r>
              <w:t>2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7188C">
            <w:pPr>
              <w:widowControl/>
              <w:spacing w:line="240" w:lineRule="atLeast"/>
              <w:jc w:val="center"/>
            </w:pPr>
            <w:r>
              <w:rPr>
                <w:rFonts w:hint="eastAsia"/>
              </w:rPr>
              <w:t>商务条款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26E3E">
            <w:pPr>
              <w:tabs>
                <w:tab w:val="left" w:pos="6915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交货期：合同签订之日起3个月内完成交货、安装、调试并满足验收要求。</w:t>
            </w:r>
          </w:p>
          <w:p w14:paraId="4F766029">
            <w:pPr>
              <w:tabs>
                <w:tab w:val="left" w:pos="6915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交付进度：一次性交付</w:t>
            </w:r>
          </w:p>
          <w:p w14:paraId="161F788E">
            <w:pPr>
              <w:tabs>
                <w:tab w:val="left" w:pos="6915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付款方式：</w:t>
            </w:r>
            <w:r>
              <w:rPr>
                <w:rFonts w:hint="eastAsia"/>
                <w:sz w:val="22"/>
                <w:szCs w:val="22"/>
              </w:rPr>
              <w:t>（1）合同签订后，支付合同总价的40%；（2）货物出厂测试合格并发货后，支付合同总价的30%；（3）货到买方指定地点并且经买方验收合格后，支付合同总价的30%。</w:t>
            </w:r>
          </w:p>
          <w:p w14:paraId="46CE2D62">
            <w:pPr>
              <w:tabs>
                <w:tab w:val="left" w:pos="6915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验收指标及验收要求：</w:t>
            </w:r>
            <w:r>
              <w:rPr>
                <w:rFonts w:hint="eastAsia"/>
                <w:sz w:val="22"/>
                <w:szCs w:val="22"/>
              </w:rPr>
              <w:t>提供出厂报告。（1）对发射谱光热原位反应装置验收以下指标：最高设计温度≥700℃、最大设计压力≥1M</w:t>
            </w:r>
            <w:r>
              <w:rPr>
                <w:sz w:val="22"/>
                <w:szCs w:val="22"/>
              </w:rPr>
              <w:t>p</w:t>
            </w:r>
            <w:r>
              <w:rPr>
                <w:rFonts w:hint="eastAsia"/>
                <w:sz w:val="22"/>
                <w:szCs w:val="22"/>
              </w:rPr>
              <w:t>a、外壳壳体温度≤60℃。（2）对荧光吸收谱光热原位反应装置验收以下指标：最高设计温度≥500℃、通光孔径≥20 mm、荧光接收张角≥45°、外壳壳体温度≤60℃。</w:t>
            </w:r>
          </w:p>
          <w:p w14:paraId="00378417">
            <w:pPr>
              <w:tabs>
                <w:tab w:val="left" w:pos="6915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档案要求：厂家应按照合肥先进光源工程办要求提供三维模型、二维图纸等必要文件留档。</w:t>
            </w:r>
          </w:p>
          <w:p w14:paraId="758C2264">
            <w:pPr>
              <w:tabs>
                <w:tab w:val="left" w:pos="6915"/>
              </w:tabs>
              <w:jc w:val="left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  <w:r>
              <w:rPr>
                <w:sz w:val="22"/>
                <w:szCs w:val="22"/>
              </w:rPr>
              <w:t>保修及售后服务：厂家对其所提供设备的免费保修期为1年。</w:t>
            </w: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 w14:paraId="324B1D27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06AA2CA0">
            <w:pPr>
              <w:spacing w:line="240" w:lineRule="atLeast"/>
              <w:jc w:val="center"/>
            </w:pPr>
          </w:p>
        </w:tc>
      </w:tr>
    </w:tbl>
    <w:p w14:paraId="6DFFEB29">
      <w:pPr>
        <w:ind w:right="840"/>
        <w:rPr>
          <w:sz w:val="24"/>
        </w:rPr>
      </w:pPr>
    </w:p>
    <w:p w14:paraId="0DED7F3B">
      <w:pPr>
        <w:ind w:right="840" w:firstLine="5040" w:firstLineChars="2100"/>
        <w:rPr>
          <w:sz w:val="24"/>
        </w:rPr>
      </w:pPr>
    </w:p>
    <w:p w14:paraId="6B36AD4F">
      <w:pPr>
        <w:ind w:right="840" w:firstLine="5040" w:firstLineChars="2100"/>
        <w:rPr>
          <w:sz w:val="24"/>
        </w:rPr>
      </w:pPr>
      <w:r>
        <w:rPr>
          <w:sz w:val="24"/>
        </w:rPr>
        <w:t>公司名称</w:t>
      </w:r>
      <w:r>
        <w:rPr>
          <w:rFonts w:hint="eastAsia"/>
          <w:sz w:val="24"/>
        </w:rPr>
        <w:t>（盖章）：</w:t>
      </w:r>
    </w:p>
    <w:p w14:paraId="2BA3965A">
      <w:pPr>
        <w:ind w:right="840"/>
        <w:jc w:val="center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    日期</w:t>
      </w:r>
      <w:r>
        <w:rPr>
          <w:rFonts w:hint="eastAsia"/>
          <w:sz w:val="24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YaHei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437"/>
    <w:rsid w:val="000110C4"/>
    <w:rsid w:val="00015CB8"/>
    <w:rsid w:val="00020783"/>
    <w:rsid w:val="00025804"/>
    <w:rsid w:val="00050922"/>
    <w:rsid w:val="00086882"/>
    <w:rsid w:val="00090223"/>
    <w:rsid w:val="00091C8D"/>
    <w:rsid w:val="000E54CE"/>
    <w:rsid w:val="00102C13"/>
    <w:rsid w:val="00123779"/>
    <w:rsid w:val="001501D1"/>
    <w:rsid w:val="001548E0"/>
    <w:rsid w:val="001B219D"/>
    <w:rsid w:val="001D3367"/>
    <w:rsid w:val="002026B2"/>
    <w:rsid w:val="002212AC"/>
    <w:rsid w:val="00261EE1"/>
    <w:rsid w:val="00267E42"/>
    <w:rsid w:val="002D1729"/>
    <w:rsid w:val="002E518A"/>
    <w:rsid w:val="003009AA"/>
    <w:rsid w:val="003438B5"/>
    <w:rsid w:val="00363C73"/>
    <w:rsid w:val="003923FC"/>
    <w:rsid w:val="003C2330"/>
    <w:rsid w:val="003C7C5A"/>
    <w:rsid w:val="004626C3"/>
    <w:rsid w:val="00474B94"/>
    <w:rsid w:val="004973C3"/>
    <w:rsid w:val="004B0D2F"/>
    <w:rsid w:val="00516FB3"/>
    <w:rsid w:val="00547A75"/>
    <w:rsid w:val="00584F75"/>
    <w:rsid w:val="005C4758"/>
    <w:rsid w:val="005C4AA6"/>
    <w:rsid w:val="005E2C0C"/>
    <w:rsid w:val="005F14E0"/>
    <w:rsid w:val="005F7E7B"/>
    <w:rsid w:val="006074C0"/>
    <w:rsid w:val="00630F8F"/>
    <w:rsid w:val="00642CDA"/>
    <w:rsid w:val="00670B3D"/>
    <w:rsid w:val="006C07B4"/>
    <w:rsid w:val="006D67E0"/>
    <w:rsid w:val="00705387"/>
    <w:rsid w:val="00720BC4"/>
    <w:rsid w:val="007230C5"/>
    <w:rsid w:val="00731AE1"/>
    <w:rsid w:val="00744E8E"/>
    <w:rsid w:val="00750961"/>
    <w:rsid w:val="00757D88"/>
    <w:rsid w:val="007A4C29"/>
    <w:rsid w:val="007B2AE3"/>
    <w:rsid w:val="00811B08"/>
    <w:rsid w:val="00825420"/>
    <w:rsid w:val="00832C3E"/>
    <w:rsid w:val="00872767"/>
    <w:rsid w:val="00877DA3"/>
    <w:rsid w:val="00886A2E"/>
    <w:rsid w:val="008A717C"/>
    <w:rsid w:val="008D62B6"/>
    <w:rsid w:val="008E3DB8"/>
    <w:rsid w:val="008F0FFC"/>
    <w:rsid w:val="008F5C2B"/>
    <w:rsid w:val="009149BA"/>
    <w:rsid w:val="00961437"/>
    <w:rsid w:val="00965011"/>
    <w:rsid w:val="00995429"/>
    <w:rsid w:val="00996AC3"/>
    <w:rsid w:val="009B6E26"/>
    <w:rsid w:val="009C3224"/>
    <w:rsid w:val="009C4C31"/>
    <w:rsid w:val="009F0C82"/>
    <w:rsid w:val="009F5C3A"/>
    <w:rsid w:val="00A01094"/>
    <w:rsid w:val="00A11447"/>
    <w:rsid w:val="00A20D98"/>
    <w:rsid w:val="00A27625"/>
    <w:rsid w:val="00A44E8A"/>
    <w:rsid w:val="00A533CA"/>
    <w:rsid w:val="00A8112C"/>
    <w:rsid w:val="00AC1D37"/>
    <w:rsid w:val="00AC67EF"/>
    <w:rsid w:val="00AF7A8B"/>
    <w:rsid w:val="00B04741"/>
    <w:rsid w:val="00B311D0"/>
    <w:rsid w:val="00B64004"/>
    <w:rsid w:val="00B7785A"/>
    <w:rsid w:val="00B90DC2"/>
    <w:rsid w:val="00B971DE"/>
    <w:rsid w:val="00BA1B3F"/>
    <w:rsid w:val="00BC2767"/>
    <w:rsid w:val="00C102A3"/>
    <w:rsid w:val="00C1298E"/>
    <w:rsid w:val="00C26D9F"/>
    <w:rsid w:val="00C442AD"/>
    <w:rsid w:val="00CA3288"/>
    <w:rsid w:val="00CA3E3B"/>
    <w:rsid w:val="00D011DC"/>
    <w:rsid w:val="00D04097"/>
    <w:rsid w:val="00D24D09"/>
    <w:rsid w:val="00D72E1E"/>
    <w:rsid w:val="00D81354"/>
    <w:rsid w:val="00E00131"/>
    <w:rsid w:val="00E147A9"/>
    <w:rsid w:val="00E5012E"/>
    <w:rsid w:val="00E762FD"/>
    <w:rsid w:val="00E930C8"/>
    <w:rsid w:val="00EA412A"/>
    <w:rsid w:val="00EA6BA9"/>
    <w:rsid w:val="00F347F0"/>
    <w:rsid w:val="00F34AE9"/>
    <w:rsid w:val="00F357B0"/>
    <w:rsid w:val="00F43549"/>
    <w:rsid w:val="00F50B62"/>
    <w:rsid w:val="00F70F95"/>
    <w:rsid w:val="00F829DE"/>
    <w:rsid w:val="00F82AA6"/>
    <w:rsid w:val="00F855E3"/>
    <w:rsid w:val="00FC7C08"/>
    <w:rsid w:val="00FE15FA"/>
    <w:rsid w:val="0C7718F8"/>
    <w:rsid w:val="103D3176"/>
    <w:rsid w:val="2D070EC5"/>
    <w:rsid w:val="46BB5348"/>
    <w:rsid w:val="51936088"/>
    <w:rsid w:val="668D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 w:line="278" w:lineRule="auto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style01"/>
    <w:basedOn w:val="7"/>
    <w:qFormat/>
    <w:uiPriority w:val="0"/>
    <w:rPr>
      <w:rFonts w:hint="default" w:ascii="MicrosoftYaHei" w:hAnsi="MicrosoftYaHei"/>
      <w:color w:val="000000"/>
      <w:sz w:val="22"/>
      <w:szCs w:val="22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tabs>
        <w:tab w:val="left" w:pos="1428"/>
      </w:tabs>
      <w:ind w:firstLine="420" w:firstLineChars="200"/>
      <w:jc w:val="left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4</Pages>
  <Words>434</Words>
  <Characters>486</Characters>
  <Lines>4</Lines>
  <Paragraphs>1</Paragraphs>
  <TotalTime>0</TotalTime>
  <ScaleCrop>false</ScaleCrop>
  <LinksUpToDate>false</LinksUpToDate>
  <CharactersWithSpaces>515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2024-07-15T01:36:00Z</dcterms:created>
  <dc:creator>China</dc:creator>
  <cp:lastModifiedBy>陈文佳</cp:lastModifiedBy>
  <dcterms:modified xsi:type="dcterms:W3CDTF">2026-08-28T08:39:34Z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eyJoZGlkIjoiMzc0OTQ1OWZiNDc3Y2MyZmZmZWIzYzRlODQ4NDE3OTYiLCJ1c2VySWQiOiIxNzc0OTA2Mjk1In0=</vt:lpwstr>
  </property>
  <property fmtid="{D5CDD505-2E9C-101B-9397-08002B2CF9AE}" pid="3" name="KSOProductBuildVer">
    <vt:lpwstr>2052-12.1.0.28043</vt:lpwstr>
  </property>
  <property fmtid="{D5CDD505-2E9C-101B-9397-08002B2CF9AE}" pid="4" name="ICV">
    <vt:lpwstr>20B1B4D6E71F47CB8E65CCEFBC87FC75_12</vt:lpwstr>
  </property>
</Properties>
</file>