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  <w:bookmarkEnd w:id="0"/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43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t>平面0.5nm光学元件</w:t>
            </w: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br w:type="textWrapping"/>
            </w:r>
          </w:p>
        </w:tc>
        <w:tc>
          <w:tcPr>
            <w:tcW w:w="5322" w:type="dxa"/>
            <w:vAlign w:val="center"/>
          </w:tcPr>
          <w:p w14:paraId="215B55F2">
            <w:pPr>
              <w:adjustRightInd w:val="0"/>
              <w:snapToGrid w:val="0"/>
              <w:spacing w:line="240" w:lineRule="auto"/>
              <w:ind w:firstLine="480" w:firstLineChars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此次采购</w:t>
            </w:r>
            <w:r>
              <w:rPr>
                <w:rFonts w:hint="eastAsia"/>
                <w:sz w:val="24"/>
                <w:szCs w:val="24"/>
              </w:rPr>
              <w:t>平面0.5 nm光学元件共计2件</w:t>
            </w:r>
            <w:r>
              <w:rPr>
                <w:sz w:val="24"/>
                <w:szCs w:val="24"/>
              </w:rPr>
              <w:t>，</w:t>
            </w:r>
            <w:r>
              <w:rPr>
                <w:rFonts w:hint="eastAsia"/>
                <w:sz w:val="24"/>
                <w:szCs w:val="24"/>
              </w:rPr>
              <w:t>元件规格包括</w:t>
            </w:r>
            <w:r>
              <w:rPr>
                <w:sz w:val="24"/>
                <w:szCs w:val="24"/>
              </w:rPr>
              <w:t>Ф300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mm×50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mm及Ф200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mm×20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mm两种</w:t>
            </w:r>
            <w:r>
              <w:rPr>
                <w:rFonts w:hint="eastAsia"/>
                <w:sz w:val="24"/>
                <w:szCs w:val="24"/>
              </w:rPr>
              <w:t>，</w:t>
            </w:r>
            <w:r>
              <w:rPr>
                <w:sz w:val="24"/>
                <w:szCs w:val="24"/>
              </w:rPr>
              <w:t>技术要求如下：</w:t>
            </w:r>
          </w:p>
          <w:p w14:paraId="47FCE221">
            <w:pPr>
              <w:tabs>
                <w:tab w:val="left" w:pos="6915"/>
              </w:tabs>
              <w:spacing w:line="240" w:lineRule="auto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1，</w:t>
            </w:r>
            <w:r>
              <w:rPr>
                <w:sz w:val="24"/>
                <w:szCs w:val="24"/>
              </w:rPr>
              <w:t>Ф300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mm×50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</w:t>
            </w:r>
            <w:r>
              <w:rPr>
                <w:rFonts w:hint="eastAsia"/>
                <w:sz w:val="24"/>
                <w:szCs w:val="24"/>
              </w:rPr>
              <w:t>平面</w:t>
            </w:r>
            <w:r>
              <w:rPr>
                <w:rFonts w:hint="eastAsia"/>
                <w:bCs/>
                <w:sz w:val="24"/>
                <w:szCs w:val="24"/>
              </w:rPr>
              <w:t>光学元件：</w:t>
            </w:r>
          </w:p>
          <w:p w14:paraId="4B7BF530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材质要求：ULE玻璃；</w:t>
            </w:r>
          </w:p>
          <w:p w14:paraId="6D7A0D2C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元件尺寸要求</w:t>
            </w:r>
            <w:r>
              <w:rPr>
                <w:sz w:val="24"/>
                <w:szCs w:val="24"/>
              </w:rPr>
              <w:t>Ф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mm×</w:t>
            </w: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</w:t>
            </w:r>
            <w:r>
              <w:rPr>
                <w:rFonts w:hint="eastAsia"/>
                <w:sz w:val="24"/>
                <w:szCs w:val="24"/>
              </w:rPr>
              <w:t>，有效口径要求≥280mm；</w:t>
            </w:r>
          </w:p>
          <w:p w14:paraId="7E584FE9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正面面形要求≤</w:t>
            </w:r>
            <w:r>
              <w:rPr>
                <w:sz w:val="24"/>
                <w:szCs w:val="24"/>
              </w:rPr>
              <w:t>λ/</w:t>
            </w:r>
            <w:r>
              <w:rPr>
                <w:rFonts w:hint="eastAsia"/>
                <w:sz w:val="24"/>
                <w:szCs w:val="24"/>
              </w:rPr>
              <w:t>15，中频、高频粗糙度要求≤0.5 nm RMS，背面精磨；</w:t>
            </w:r>
          </w:p>
          <w:p w14:paraId="1CFE9276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数量：1件；</w:t>
            </w:r>
          </w:p>
          <w:p w14:paraId="6D45733C">
            <w:pPr>
              <w:pStyle w:val="5"/>
              <w:numPr>
                <w:ilvl w:val="0"/>
                <w:numId w:val="0"/>
              </w:numPr>
              <w:tabs>
                <w:tab w:val="left" w:pos="6915"/>
              </w:tabs>
              <w:spacing w:line="240" w:lineRule="auto"/>
              <w:ind w:left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2，</w:t>
            </w:r>
            <w:r>
              <w:rPr>
                <w:sz w:val="24"/>
                <w:szCs w:val="24"/>
              </w:rPr>
              <w:t>Ф200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mm×20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</w:t>
            </w:r>
            <w:r>
              <w:rPr>
                <w:rFonts w:hint="eastAsia"/>
                <w:bCs/>
                <w:sz w:val="24"/>
                <w:szCs w:val="24"/>
              </w:rPr>
              <w:t>平面光学元件：</w:t>
            </w:r>
          </w:p>
          <w:p w14:paraId="1C62B1BF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材质要求：ULE玻璃；</w:t>
            </w:r>
          </w:p>
          <w:p w14:paraId="1149A410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元件尺寸要求：</w:t>
            </w:r>
            <w:r>
              <w:rPr>
                <w:sz w:val="24"/>
                <w:szCs w:val="24"/>
              </w:rPr>
              <w:t>Ф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mm×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mm</w:t>
            </w:r>
            <w:r>
              <w:rPr>
                <w:rFonts w:hint="eastAsia"/>
                <w:sz w:val="24"/>
                <w:szCs w:val="24"/>
              </w:rPr>
              <w:t>，有效口径要求≥180mm；</w:t>
            </w:r>
          </w:p>
          <w:p w14:paraId="5127ABB7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正面面形要求≤</w:t>
            </w:r>
            <w:r>
              <w:rPr>
                <w:sz w:val="24"/>
                <w:szCs w:val="24"/>
              </w:rPr>
              <w:t>λ/</w:t>
            </w:r>
            <w:r>
              <w:rPr>
                <w:rFonts w:hint="eastAsia"/>
                <w:sz w:val="24"/>
                <w:szCs w:val="24"/>
              </w:rPr>
              <w:t>15，中频、高频粗糙度要求≤0.5 nm RMS，背面精磨；</w:t>
            </w:r>
          </w:p>
          <w:p w14:paraId="704CDF44">
            <w:pPr>
              <w:pStyle w:val="5"/>
              <w:numPr>
                <w:ilvl w:val="0"/>
                <w:numId w:val="1"/>
              </w:numPr>
              <w:tabs>
                <w:tab w:val="left" w:pos="6915"/>
              </w:tabs>
              <w:spacing w:line="240" w:lineRule="auto"/>
              <w:ind w:firstLineChars="0"/>
              <w:jc w:val="left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数量：1件；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EEC53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交货期：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合同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签订后70日内交货</w:t>
            </w:r>
          </w:p>
          <w:p w14:paraId="7A60FD52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交付进度：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一次交付</w:t>
            </w:r>
          </w:p>
          <w:p w14:paraId="570E5D98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付款方式：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合同签订后，支付合同总价的60%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货物到达买家指定地点并经买家验收合格后，支付合同总价的40%。</w:t>
            </w:r>
          </w:p>
          <w:p w14:paraId="50610C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验收指标及验收要求：</w:t>
            </w:r>
          </w:p>
          <w:p w14:paraId="147AA6A4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（1）设备出厂时，供应商须提供产品出厂检测报告；</w:t>
            </w:r>
          </w:p>
          <w:p w14:paraId="5855B88C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（2）设备到达指定现场后，由采购方组织组织采购、供应商双方及相关管理技术人员共同完成验收工作，对产品指标进行现场检测并形成符合技术要求的测试报告。</w:t>
            </w:r>
          </w:p>
          <w:p w14:paraId="01CA89D4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</w:p>
          <w:p w14:paraId="11AAFFEA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供应商提供不少于1年的质保服务，</w:t>
            </w:r>
            <w:r>
              <w:rPr>
                <w:rFonts w:hint="eastAsia"/>
                <w:kern w:val="0"/>
                <w:sz w:val="24"/>
                <w:szCs w:val="24"/>
              </w:rPr>
              <w:t>质保期内发生质量问题的，乙方应自接到甲方异议之日起3个工作日内响应并提出有效解决方案，所产生的费用由乙方承担；乙方需要</w:t>
            </w:r>
            <w:r>
              <w:rPr>
                <w:kern w:val="0"/>
                <w:sz w:val="24"/>
                <w:szCs w:val="24"/>
              </w:rPr>
              <w:t>提供相应技术支持</w:t>
            </w:r>
            <w:r>
              <w:rPr>
                <w:rFonts w:hint="eastAsia"/>
                <w:kern w:val="0"/>
                <w:sz w:val="24"/>
                <w:szCs w:val="24"/>
              </w:rPr>
              <w:t>，确保甲方能够及时有效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>地</w:t>
            </w:r>
            <w:r>
              <w:rPr>
                <w:rFonts w:hint="eastAsia"/>
                <w:kern w:val="0"/>
                <w:sz w:val="24"/>
                <w:szCs w:val="24"/>
              </w:rPr>
              <w:t>使用设备。</w:t>
            </w:r>
          </w:p>
          <w:p w14:paraId="4D8E1F1E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其它：</w:t>
            </w:r>
          </w:p>
          <w:p w14:paraId="22E7EB98">
            <w:pPr>
              <w:tabs>
                <w:tab w:val="left" w:pos="6915"/>
              </w:tabs>
              <w:spacing w:line="240" w:lineRule="auto"/>
              <w:jc w:val="left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包装：包装必须符合所采用的运输方式的要求，并要便于各环节有关人员进行操作；在保证包装牢固的前提下节省费用。货物固定在箱体内，避免内部晃动。在包装箱上四个侧面的两个较大面上分别标记向上、怕湿、禁止翻转和吊装位置等符号，应清晰、可长期保持。清晰注明收货地址、收货人和发货地址，合同号、重量、包装箱的承重点等。</w:t>
            </w:r>
          </w:p>
          <w:p w14:paraId="1956858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运输：陆运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kern w:val="0"/>
                <w:sz w:val="24"/>
                <w:szCs w:val="24"/>
              </w:rPr>
              <w:t>公路或铁路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kern w:val="0"/>
                <w:sz w:val="24"/>
                <w:szCs w:val="24"/>
              </w:rPr>
              <w:t>或空运。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BF1B13"/>
    <w:multiLevelType w:val="multilevel"/>
    <w:tmpl w:val="7FBF1B13"/>
    <w:lvl w:ilvl="0" w:tentative="0">
      <w:start w:val="1"/>
      <w:numFmt w:val="bullet"/>
      <w:lvlText w:val=""/>
      <w:lvlJc w:val="left"/>
      <w:pPr>
        <w:ind w:left="80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4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2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6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4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8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238268F"/>
    <w:rsid w:val="04EF6C24"/>
    <w:rsid w:val="0FAA3CAE"/>
    <w:rsid w:val="2D8C5ECA"/>
    <w:rsid w:val="38C84348"/>
    <w:rsid w:val="3FBA1C74"/>
    <w:rsid w:val="60854C98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826</Words>
  <Characters>909</Characters>
  <Lines>0</Lines>
  <Paragraphs>0</Paragraphs>
  <TotalTime>0</TotalTime>
  <ScaleCrop>false</ScaleCrop>
  <LinksUpToDate>false</LinksUpToDate>
  <CharactersWithSpaces>935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2026-09-24T01:15:20Z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4490AF42F17649D19D01C8B2F38FCBBA_13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