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BL03单色光光阑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E845F39">
            <w:pPr>
              <w:tabs>
                <w:tab w:val="left" w:pos="6915"/>
              </w:tabs>
              <w:spacing w:line="240" w:lineRule="auto"/>
              <w:ind w:firstLine="420" w:firstLineChars="200"/>
              <w:jc w:val="left"/>
              <w:rPr>
                <w:rFonts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单色光光阑，数量</w:t>
            </w:r>
            <w:r>
              <w:rPr>
                <w:rFonts w:ascii="宋体" w:hAnsi="宋体"/>
                <w:iCs/>
                <w:szCs w:val="21"/>
              </w:rPr>
              <w:t>2</w:t>
            </w:r>
            <w:r>
              <w:rPr>
                <w:rFonts w:hint="eastAsia" w:ascii="宋体" w:hAnsi="宋体"/>
                <w:iCs/>
                <w:szCs w:val="21"/>
              </w:rPr>
              <w:t>套。用于微纳器件工况电子态表征实验站KB镜前的最后一个光阑，主要作用是去除杂散光。主要技术参数如下：</w:t>
            </w:r>
          </w:p>
          <w:tbl>
            <w:tblPr>
              <w:tblStyle w:val="5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433"/>
              <w:gridCol w:w="2026"/>
            </w:tblGrid>
            <w:tr w14:paraId="1BEEE21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1" w:hRule="atLeast"/>
                <w:jc w:val="center"/>
              </w:trPr>
              <w:tc>
                <w:tcPr>
                  <w:tcW w:w="243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47B070C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bookmarkStart w:id="0" w:name="_Hlk206507180"/>
                  <w:r>
                    <w:rPr>
                      <w:rFonts w:hint="eastAsia" w:ascii="宋体" w:hAnsi="宋体" w:cs="仿宋"/>
                    </w:rPr>
                    <w:t>名称</w:t>
                  </w:r>
                </w:p>
              </w:tc>
              <w:tc>
                <w:tcPr>
                  <w:tcW w:w="20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ECA497A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单色光光阑</w:t>
                  </w:r>
                </w:p>
              </w:tc>
            </w:tr>
            <w:tr w14:paraId="3AFB3F4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1" w:hRule="atLeast"/>
                <w:jc w:val="center"/>
              </w:trPr>
              <w:tc>
                <w:tcPr>
                  <w:tcW w:w="243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85CCCAC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个数 （套）</w:t>
                  </w:r>
                </w:p>
              </w:tc>
              <w:tc>
                <w:tcPr>
                  <w:tcW w:w="20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B24C4A3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ascii="宋体" w:hAnsi="宋体" w:cs="仿宋"/>
                    </w:rPr>
                    <w:t>2</w:t>
                  </w:r>
                </w:p>
              </w:tc>
            </w:tr>
            <w:tr w14:paraId="458856F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1" w:hRule="atLeast"/>
                <w:jc w:val="center"/>
              </w:trPr>
              <w:tc>
                <w:tcPr>
                  <w:tcW w:w="243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5BE8F7B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开口尺寸（H×V mm</w:t>
                  </w:r>
                  <w:r>
                    <w:rPr>
                      <w:rFonts w:hint="eastAsia" w:ascii="宋体" w:hAnsi="宋体" w:cs="仿宋"/>
                      <w:vertAlign w:val="superscript"/>
                    </w:rPr>
                    <w:t>2</w:t>
                  </w:r>
                  <w:r>
                    <w:rPr>
                      <w:rFonts w:hint="eastAsia" w:ascii="宋体" w:hAnsi="宋体" w:cs="仿宋"/>
                    </w:rPr>
                    <w:t>）</w:t>
                  </w:r>
                </w:p>
              </w:tc>
              <w:tc>
                <w:tcPr>
                  <w:tcW w:w="20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1A933708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0×0-15×15</w:t>
                  </w:r>
                </w:p>
              </w:tc>
            </w:tr>
            <w:tr w14:paraId="3E744D5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1" w:hRule="atLeast"/>
                <w:jc w:val="center"/>
              </w:trPr>
              <w:tc>
                <w:tcPr>
                  <w:tcW w:w="243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A7CC9C0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分辨率（μm）</w:t>
                  </w:r>
                </w:p>
              </w:tc>
              <w:tc>
                <w:tcPr>
                  <w:tcW w:w="20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0548EEF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bookmarkStart w:id="1" w:name="OLE_LINK217"/>
                  <w:r>
                    <w:rPr>
                      <w:rFonts w:hint="eastAsia" w:ascii="宋体" w:hAnsi="宋体" w:cs="仿宋"/>
                    </w:rPr>
                    <w:t>≤5</w:t>
                  </w:r>
                  <w:bookmarkEnd w:id="1"/>
                </w:p>
              </w:tc>
            </w:tr>
            <w:tr w14:paraId="014C66B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1" w:hRule="atLeast"/>
                <w:jc w:val="center"/>
              </w:trPr>
              <w:tc>
                <w:tcPr>
                  <w:tcW w:w="243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EC7B0D7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重复性（μm）</w:t>
                  </w:r>
                </w:p>
              </w:tc>
              <w:tc>
                <w:tcPr>
                  <w:tcW w:w="20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DD7DE5B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≤10</w:t>
                  </w:r>
                </w:p>
              </w:tc>
            </w:tr>
            <w:tr w14:paraId="6D7D6E3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1" w:hRule="atLeast"/>
                <w:jc w:val="center"/>
              </w:trPr>
              <w:tc>
                <w:tcPr>
                  <w:tcW w:w="243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B0E2944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刀口直线度（μm）</w:t>
                  </w:r>
                </w:p>
              </w:tc>
              <w:tc>
                <w:tcPr>
                  <w:tcW w:w="20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951FB6B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/</w:t>
                  </w:r>
                </w:p>
              </w:tc>
            </w:tr>
            <w:tr w14:paraId="7265013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1" w:hRule="atLeast"/>
                <w:jc w:val="center"/>
              </w:trPr>
              <w:tc>
                <w:tcPr>
                  <w:tcW w:w="243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FFA3647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刀口平行度（mrad）</w:t>
                  </w:r>
                </w:p>
              </w:tc>
              <w:tc>
                <w:tcPr>
                  <w:tcW w:w="20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D013D33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≤10</w:t>
                  </w:r>
                </w:p>
              </w:tc>
            </w:tr>
            <w:tr w14:paraId="10C6AC8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1" w:hRule="atLeast"/>
                <w:jc w:val="center"/>
              </w:trPr>
              <w:tc>
                <w:tcPr>
                  <w:tcW w:w="243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7EC435E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最大热功率（W</w:t>
                  </w:r>
                  <w:r>
                    <w:rPr>
                      <w:rFonts w:ascii="宋体" w:hAnsi="宋体" w:cs="仿宋"/>
                    </w:rPr>
                    <w:t>）</w:t>
                  </w:r>
                </w:p>
              </w:tc>
              <w:tc>
                <w:tcPr>
                  <w:tcW w:w="20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DE14364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ascii="宋体" w:hAnsi="宋体" w:cs="仿宋"/>
                    </w:rPr>
                    <w:t>1</w:t>
                  </w:r>
                </w:p>
              </w:tc>
            </w:tr>
            <w:tr w14:paraId="74692DB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1" w:hRule="atLeast"/>
                <w:jc w:val="center"/>
              </w:trPr>
              <w:tc>
                <w:tcPr>
                  <w:tcW w:w="243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0D5EDCB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类型</w:t>
                  </w:r>
                </w:p>
              </w:tc>
              <w:tc>
                <w:tcPr>
                  <w:tcW w:w="20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A105F69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四刀</w:t>
                  </w:r>
                </w:p>
              </w:tc>
            </w:tr>
            <w:tr w14:paraId="10965E3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1" w:hRule="atLeast"/>
                <w:jc w:val="center"/>
              </w:trPr>
              <w:tc>
                <w:tcPr>
                  <w:tcW w:w="243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20BC9F5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冷却方式</w:t>
                  </w:r>
                </w:p>
              </w:tc>
              <w:tc>
                <w:tcPr>
                  <w:tcW w:w="20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94F74E1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-</w:t>
                  </w:r>
                </w:p>
              </w:tc>
            </w:tr>
            <w:tr w14:paraId="4AFE052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3" w:hRule="atLeast"/>
                <w:jc w:val="center"/>
              </w:trPr>
              <w:tc>
                <w:tcPr>
                  <w:tcW w:w="243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3A85D55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刀片材质</w:t>
                  </w:r>
                </w:p>
              </w:tc>
              <w:tc>
                <w:tcPr>
                  <w:tcW w:w="20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</w:tcPr>
                <w:p w14:paraId="1D11766C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无氧铜/弥散铜/钨/碳化钨</w:t>
                  </w:r>
                </w:p>
              </w:tc>
            </w:tr>
            <w:tr w14:paraId="0BB41BE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3" w:hRule="atLeast"/>
                <w:jc w:val="center"/>
              </w:trPr>
              <w:tc>
                <w:tcPr>
                  <w:tcW w:w="243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248C222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真空</w:t>
                  </w:r>
                  <w:r>
                    <w:rPr>
                      <w:rFonts w:ascii="宋体" w:hAnsi="宋体" w:cs="仿宋"/>
                    </w:rPr>
                    <w:t>漏率</w:t>
                  </w:r>
                </w:p>
              </w:tc>
              <w:tc>
                <w:tcPr>
                  <w:tcW w:w="20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</w:tcPr>
                <w:p w14:paraId="2C4C71BD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≤1×10</w:t>
                  </w:r>
                  <w:r>
                    <w:rPr>
                      <w:rFonts w:hint="eastAsia" w:ascii="仿宋" w:hAnsi="仿宋" w:eastAsia="仿宋" w:cs="仿宋"/>
                      <w:vertAlign w:val="superscript"/>
                    </w:rPr>
                    <w:t>-10</w:t>
                  </w:r>
                  <w:r>
                    <w:rPr>
                      <w:rFonts w:hint="eastAsia" w:ascii="仿宋" w:hAnsi="仿宋" w:eastAsia="仿宋" w:cs="仿宋"/>
                    </w:rPr>
                    <w:t xml:space="preserve"> mbar·L/s</w:t>
                  </w:r>
                </w:p>
              </w:tc>
            </w:tr>
            <w:tr w14:paraId="5F2D60D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1" w:hRule="atLeast"/>
                <w:jc w:val="center"/>
              </w:trPr>
              <w:tc>
                <w:tcPr>
                  <w:tcW w:w="243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EF7453C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极限真空</w:t>
                  </w:r>
                </w:p>
              </w:tc>
              <w:tc>
                <w:tcPr>
                  <w:tcW w:w="20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</w:tcPr>
                <w:p w14:paraId="1F281153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≤5×10</w:t>
                  </w:r>
                  <w:r>
                    <w:rPr>
                      <w:rFonts w:hint="eastAsia" w:ascii="仿宋" w:hAnsi="仿宋" w:eastAsia="仿宋" w:cs="仿宋"/>
                      <w:vertAlign w:val="superscript"/>
                    </w:rPr>
                    <w:t>-</w:t>
                  </w:r>
                  <w:r>
                    <w:rPr>
                      <w:rFonts w:ascii="仿宋" w:hAnsi="仿宋" w:eastAsia="仿宋" w:cs="仿宋"/>
                      <w:vertAlign w:val="superscript"/>
                    </w:rPr>
                    <w:t>10</w:t>
                  </w:r>
                  <w:r>
                    <w:rPr>
                      <w:rFonts w:hint="eastAsia" w:ascii="仿宋" w:hAnsi="仿宋" w:eastAsia="仿宋" w:cs="仿宋"/>
                    </w:rPr>
                    <w:t>bar</w:t>
                  </w:r>
                </w:p>
              </w:tc>
            </w:tr>
            <w:tr w14:paraId="2B8ACA1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74" w:hRule="atLeast"/>
                <w:jc w:val="center"/>
              </w:trPr>
              <w:tc>
                <w:tcPr>
                  <w:tcW w:w="243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1FE703A">
                  <w:pPr>
                    <w:spacing w:line="240" w:lineRule="auto"/>
                    <w:jc w:val="center"/>
                    <w:rPr>
                      <w:rFonts w:ascii="宋体" w:hAnsi="宋体" w:cs="仿宋"/>
                    </w:rPr>
                  </w:pPr>
                  <w:r>
                    <w:rPr>
                      <w:rFonts w:hint="eastAsia" w:ascii="宋体" w:hAnsi="宋体" w:cs="仿宋"/>
                    </w:rPr>
                    <w:t>真空室通导</w:t>
                  </w:r>
                </w:p>
              </w:tc>
              <w:tc>
                <w:tcPr>
                  <w:tcW w:w="20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</w:tcPr>
                <w:p w14:paraId="69242ACC">
                  <w:pPr>
                    <w:spacing w:line="240" w:lineRule="auto"/>
                    <w:jc w:val="center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通光孔径≤100mm；光阑孔径≤160mm</w:t>
                  </w:r>
                </w:p>
              </w:tc>
            </w:tr>
            <w:bookmarkEnd w:id="0"/>
          </w:tbl>
          <w:p w14:paraId="60B46C60">
            <w:pPr>
              <w:spacing w:line="240" w:lineRule="auto"/>
              <w:ind w:firstLine="420" w:firstLineChars="200"/>
              <w:rPr>
                <w:rFonts w:ascii="宋体" w:hAnsi="宋体" w:cs="仿宋"/>
              </w:rPr>
            </w:pPr>
            <w:r>
              <w:rPr>
                <w:rFonts w:hint="eastAsia" w:ascii="宋体" w:hAnsi="宋体" w:cs="仿宋"/>
              </w:rPr>
              <w:t>其他要求：</w:t>
            </w:r>
          </w:p>
          <w:p w14:paraId="6C5BC5F1">
            <w:pPr>
              <w:spacing w:line="240" w:lineRule="auto"/>
              <w:ind w:firstLine="420" w:firstLineChars="200"/>
              <w:rPr>
                <w:rFonts w:ascii="宋体" w:hAnsi="宋体" w:cs="仿宋"/>
              </w:rPr>
            </w:pPr>
            <w:r>
              <w:rPr>
                <w:rFonts w:ascii="宋体" w:hAnsi="宋体" w:cs="仿宋"/>
              </w:rPr>
              <w:t>1</w:t>
            </w:r>
            <w:r>
              <w:rPr>
                <w:rFonts w:hint="eastAsia" w:ascii="宋体" w:hAnsi="宋体" w:cs="仿宋"/>
              </w:rPr>
              <w:t>、为保证高稳定性，光阑的稳定性支撑被限制为花岗岩支撑；二维移动平台需具有X（垂直光路）和Y（沿光路）方向调节能力，调节精度小于0.1 mm，调节方式为手动；</w:t>
            </w:r>
          </w:p>
          <w:p w14:paraId="1FE63536">
            <w:pPr>
              <w:spacing w:line="240" w:lineRule="auto"/>
              <w:ind w:firstLine="420" w:firstLineChars="200"/>
              <w:rPr>
                <w:rFonts w:ascii="宋体" w:hAnsi="宋体" w:cs="仿宋"/>
              </w:rPr>
            </w:pPr>
            <w:r>
              <w:rPr>
                <w:rFonts w:ascii="宋体" w:hAnsi="宋体" w:cs="仿宋"/>
              </w:rPr>
              <w:t>2</w:t>
            </w:r>
            <w:r>
              <w:rPr>
                <w:rFonts w:hint="eastAsia" w:ascii="宋体" w:hAnsi="宋体" w:cs="仿宋"/>
              </w:rPr>
              <w:t>、真空腔体上需要预留观察窗（不小于CF35），通过观察窗可以看到设备刀片的运动机构，观察窗同时配备支持Gig协议的相机及相机支架，以便远程监测；</w:t>
            </w:r>
          </w:p>
          <w:p w14:paraId="5D941FDF">
            <w:pPr>
              <w:spacing w:line="240" w:lineRule="auto"/>
              <w:ind w:firstLine="482"/>
              <w:rPr>
                <w:rFonts w:ascii="宋体" w:hAnsi="宋体" w:cs="仿宋"/>
              </w:rPr>
            </w:pPr>
            <w:r>
              <w:rPr>
                <w:rFonts w:ascii="宋体" w:hAnsi="宋体" w:cs="仿宋"/>
              </w:rPr>
              <w:t>3</w:t>
            </w:r>
            <w:r>
              <w:rPr>
                <w:rFonts w:hint="eastAsia" w:ascii="宋体" w:hAnsi="宋体" w:cs="仿宋"/>
              </w:rPr>
              <w:t>、刀片上需要有测量温度的热电偶，腔体上使用相同热偶材料的法兰；</w:t>
            </w:r>
          </w:p>
          <w:p w14:paraId="1697A440">
            <w:pPr>
              <w:spacing w:line="240" w:lineRule="auto"/>
              <w:ind w:firstLine="482"/>
              <w:rPr>
                <w:rFonts w:ascii="宋体" w:hAnsi="宋体" w:cs="仿宋"/>
              </w:rPr>
            </w:pPr>
            <w:r>
              <w:rPr>
                <w:rFonts w:ascii="宋体" w:hAnsi="宋体" w:cs="仿宋"/>
              </w:rPr>
              <w:t>4</w:t>
            </w:r>
            <w:r>
              <w:rPr>
                <w:rFonts w:hint="eastAsia" w:ascii="宋体" w:hAnsi="宋体" w:cs="仿宋"/>
              </w:rPr>
              <w:t>、每件刀片需配有硬限位和限位开关两类限位；</w:t>
            </w:r>
          </w:p>
          <w:p w14:paraId="5284F6DA">
            <w:pPr>
              <w:tabs>
                <w:tab w:val="left" w:pos="6915"/>
              </w:tabs>
              <w:spacing w:line="240" w:lineRule="auto"/>
              <w:ind w:firstLine="420" w:firstLineChars="200"/>
              <w:jc w:val="left"/>
              <w:rPr>
                <w:rFonts w:hint="eastAsia" w:ascii="宋体" w:hAnsi="宋体"/>
                <w:iCs/>
                <w:szCs w:val="21"/>
              </w:rPr>
            </w:pPr>
            <w:r>
              <w:rPr>
                <w:rFonts w:ascii="宋体" w:hAnsi="宋体" w:cs="仿宋"/>
              </w:rPr>
              <w:t>5</w:t>
            </w:r>
            <w:r>
              <w:rPr>
                <w:rFonts w:hint="eastAsia" w:ascii="宋体" w:hAnsi="宋体" w:cs="仿宋"/>
              </w:rPr>
              <w:t>、运动机构</w:t>
            </w:r>
            <w:r>
              <w:rPr>
                <w:rFonts w:hint="eastAsia" w:ascii="宋体" w:hAnsi="宋体"/>
                <w:iCs/>
                <w:szCs w:val="21"/>
              </w:rPr>
              <w:t>的电机、滑台和编码器都放置在真空外，并通过刀片导向系统将刀片导入真空内；</w:t>
            </w:r>
          </w:p>
          <w:p w14:paraId="2E4A86F7">
            <w:pPr>
              <w:tabs>
                <w:tab w:val="left" w:pos="6915"/>
              </w:tabs>
              <w:spacing w:line="240" w:lineRule="auto"/>
              <w:ind w:firstLine="420" w:firstLineChars="200"/>
              <w:jc w:val="left"/>
              <w:rPr>
                <w:rFonts w:hint="eastAsia"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6、残余气体分析测试应满足下列要求：</w:t>
            </w:r>
          </w:p>
          <w:tbl>
            <w:tblPr>
              <w:tblStyle w:val="6"/>
              <w:tblW w:w="471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65"/>
              <w:gridCol w:w="1454"/>
            </w:tblGrid>
            <w:tr w14:paraId="6073701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4" w:hRule="atLeast"/>
                <w:jc w:val="center"/>
              </w:trPr>
              <w:tc>
                <w:tcPr>
                  <w:tcW w:w="3265" w:type="dxa"/>
                </w:tcPr>
                <w:p w14:paraId="7C287CCE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碳氢污染物AMU 39，41和45至100 总和</w:t>
                  </w:r>
                </w:p>
              </w:tc>
              <w:tc>
                <w:tcPr>
                  <w:tcW w:w="1454" w:type="dxa"/>
                </w:tcPr>
                <w:p w14:paraId="3848EB30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≤ 5×10-12 mbar</w:t>
                  </w:r>
                </w:p>
              </w:tc>
            </w:tr>
            <w:tr w14:paraId="513B36C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4" w:hRule="atLeast"/>
                <w:jc w:val="center"/>
              </w:trPr>
              <w:tc>
                <w:tcPr>
                  <w:tcW w:w="3265" w:type="dxa"/>
                </w:tcPr>
                <w:p w14:paraId="47A12D61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氯残留量AMU 35，37 总和</w:t>
                  </w:r>
                </w:p>
              </w:tc>
              <w:tc>
                <w:tcPr>
                  <w:tcW w:w="1454" w:type="dxa"/>
                </w:tcPr>
                <w:p w14:paraId="0D56AD18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≤ 5×10-11  mbar</w:t>
                  </w:r>
                </w:p>
              </w:tc>
            </w:tr>
            <w:tr w14:paraId="28A7A53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4" w:hRule="atLeast"/>
                <w:jc w:val="center"/>
              </w:trPr>
              <w:tc>
                <w:tcPr>
                  <w:tcW w:w="3265" w:type="dxa"/>
                </w:tcPr>
                <w:p w14:paraId="67B24271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氟残留量AMU 19，20 总和</w:t>
                  </w:r>
                </w:p>
              </w:tc>
              <w:tc>
                <w:tcPr>
                  <w:tcW w:w="1454" w:type="dxa"/>
                </w:tcPr>
                <w:p w14:paraId="3CABDF70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≤ 5×10-11  mbar</w:t>
                  </w:r>
                </w:p>
              </w:tc>
            </w:tr>
            <w:tr w14:paraId="4FD8AE6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3" w:hRule="atLeast"/>
                <w:jc w:val="center"/>
              </w:trPr>
              <w:tc>
                <w:tcPr>
                  <w:tcW w:w="3265" w:type="dxa"/>
                </w:tcPr>
                <w:p w14:paraId="427A7E3B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水残留量AMU 17，18 总和</w:t>
                  </w:r>
                </w:p>
              </w:tc>
              <w:tc>
                <w:tcPr>
                  <w:tcW w:w="1454" w:type="dxa"/>
                </w:tcPr>
                <w:p w14:paraId="7049874E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≤ 1×10-10 mbar</w:t>
                  </w:r>
                </w:p>
              </w:tc>
            </w:tr>
          </w:tbl>
          <w:p w14:paraId="46A86570">
            <w:pPr>
              <w:tabs>
                <w:tab w:val="left" w:pos="6915"/>
              </w:tabs>
              <w:spacing w:line="240" w:lineRule="auto"/>
              <w:ind w:firstLine="420" w:firstLineChars="200"/>
              <w:jc w:val="left"/>
              <w:rPr>
                <w:rFonts w:hint="eastAsia"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其中残余气体分析测试采用高灵敏度四级质谱仪(RGA)来检测 0-100 AMU之间是否有不合理的峰，测试结果写入测试报告并获准之后方能启运</w:t>
            </w:r>
          </w:p>
          <w:p w14:paraId="6770E88F">
            <w:pPr>
              <w:tabs>
                <w:tab w:val="left" w:pos="6915"/>
              </w:tabs>
              <w:spacing w:line="240" w:lineRule="auto"/>
              <w:ind w:firstLine="420" w:firstLineChars="200"/>
              <w:jc w:val="left"/>
              <w:rPr>
                <w:rFonts w:hint="eastAsia"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7、厂家根据技术需求，完成工程方案细化设计，工程方案应包含结构、运动、真空等内容，完成对系统关键部件参数的测试，并提供测试报告。完成同步光在线安装调试过程中的必要协助。测试报告包含但不限于下表：</w:t>
            </w:r>
          </w:p>
          <w:tbl>
            <w:tblPr>
              <w:tblStyle w:val="5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20"/>
            </w:tblGrid>
            <w:tr w14:paraId="2A3E810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5" w:hRule="atLeast"/>
                <w:jc w:val="center"/>
              </w:trPr>
              <w:tc>
                <w:tcPr>
                  <w:tcW w:w="4520" w:type="dxa"/>
                </w:tcPr>
                <w:p w14:paraId="565C33DD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测试内容</w:t>
                  </w:r>
                </w:p>
              </w:tc>
            </w:tr>
            <w:tr w14:paraId="1ED35E4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51" w:hRule="atLeast"/>
                <w:jc w:val="center"/>
              </w:trPr>
              <w:tc>
                <w:tcPr>
                  <w:tcW w:w="4520" w:type="dxa"/>
                  <w:vAlign w:val="center"/>
                </w:tcPr>
                <w:p w14:paraId="62815443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①所有刀片在大气和真空状态下的运动机构测试</w:t>
                  </w:r>
                </w:p>
                <w:p w14:paraId="168A8C4C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②调节范围</w:t>
                  </w:r>
                </w:p>
                <w:p w14:paraId="5C35000C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③分辨率</w:t>
                  </w:r>
                </w:p>
                <w:p w14:paraId="784FAE4A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④重复精度</w:t>
                  </w:r>
                </w:p>
                <w:p w14:paraId="23DE363C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⑤真空漏率</w:t>
                  </w:r>
                </w:p>
              </w:tc>
            </w:tr>
          </w:tbl>
          <w:p w14:paraId="66E7BFF0">
            <w:pPr>
              <w:tabs>
                <w:tab w:val="left" w:pos="6915"/>
              </w:tabs>
              <w:spacing w:line="240" w:lineRule="auto"/>
              <w:ind w:firstLine="420" w:firstLineChars="200"/>
              <w:jc w:val="left"/>
              <w:rPr>
                <w:rFonts w:hint="eastAsia"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提供检测硬件条件，包含符合工程要求的真空规计、检漏仪、质谱仪等。</w:t>
            </w:r>
          </w:p>
          <w:p w14:paraId="22FE1D8A">
            <w:pPr>
              <w:tabs>
                <w:tab w:val="left" w:pos="6915"/>
              </w:tabs>
              <w:spacing w:line="240" w:lineRule="auto"/>
              <w:ind w:firstLine="420" w:firstLineChars="200"/>
              <w:jc w:val="left"/>
              <w:rPr>
                <w:rFonts w:hint="eastAsia"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 xml:space="preserve">8、真空腔体采用304L，需在腔体焊接工艺完成后，抛光清洗步骤前进行真空退火除氢，并于验收时提供相关工艺过程证明材料； </w:t>
            </w:r>
          </w:p>
          <w:p w14:paraId="09C00F41">
            <w:pPr>
              <w:tabs>
                <w:tab w:val="left" w:pos="6915"/>
              </w:tabs>
              <w:spacing w:line="240" w:lineRule="auto"/>
              <w:ind w:firstLine="420" w:firstLineChars="200"/>
              <w:jc w:val="left"/>
              <w:rPr>
                <w:rFonts w:hint="eastAsia" w:ascii="宋体" w:hAnsi="宋体"/>
                <w:iCs/>
                <w:szCs w:val="21"/>
              </w:rPr>
            </w:pPr>
            <w:r>
              <w:rPr>
                <w:rFonts w:hint="eastAsia" w:ascii="宋体" w:hAnsi="宋体"/>
                <w:iCs/>
                <w:szCs w:val="21"/>
              </w:rPr>
              <w:t>加工件选材规范表</w:t>
            </w:r>
          </w:p>
          <w:tbl>
            <w:tblPr>
              <w:tblStyle w:val="5"/>
              <w:tblW w:w="487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39"/>
              <w:gridCol w:w="1132"/>
              <w:gridCol w:w="3408"/>
            </w:tblGrid>
            <w:tr w14:paraId="3822FF7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1" w:hRule="atLeast"/>
                <w:jc w:val="center"/>
              </w:trPr>
              <w:tc>
                <w:tcPr>
                  <w:tcW w:w="339" w:type="dxa"/>
                  <w:vAlign w:val="center"/>
                </w:tcPr>
                <w:p w14:paraId="2815D51B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</w:p>
              </w:tc>
              <w:tc>
                <w:tcPr>
                  <w:tcW w:w="1132" w:type="dxa"/>
                  <w:vAlign w:val="center"/>
                </w:tcPr>
                <w:p w14:paraId="689D31E4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零件种类</w:t>
                  </w:r>
                </w:p>
              </w:tc>
              <w:tc>
                <w:tcPr>
                  <w:tcW w:w="3408" w:type="dxa"/>
                  <w:vAlign w:val="center"/>
                </w:tcPr>
                <w:p w14:paraId="718FE3CC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材料要求</w:t>
                  </w:r>
                </w:p>
              </w:tc>
            </w:tr>
            <w:tr w14:paraId="7B5FE3A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1" w:hRule="atLeast"/>
                <w:jc w:val="center"/>
              </w:trPr>
              <w:tc>
                <w:tcPr>
                  <w:tcW w:w="339" w:type="dxa"/>
                  <w:vAlign w:val="center"/>
                </w:tcPr>
                <w:p w14:paraId="31B084AD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eastAsia" w:ascii="宋体" w:hAnsi="宋体"/>
                      <w:iCs/>
                      <w:szCs w:val="21"/>
                    </w:rPr>
                    <w:t>1</w:t>
                  </w:r>
                </w:p>
              </w:tc>
              <w:tc>
                <w:tcPr>
                  <w:tcW w:w="1132" w:type="dxa"/>
                  <w:vAlign w:val="center"/>
                </w:tcPr>
                <w:p w14:paraId="5BDEBD02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腔体及内部零件</w:t>
                  </w:r>
                </w:p>
              </w:tc>
              <w:tc>
                <w:tcPr>
                  <w:tcW w:w="3408" w:type="dxa"/>
                  <w:vAlign w:val="center"/>
                </w:tcPr>
                <w:p w14:paraId="0B05DF9B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316L或304L不锈钢或6061铝合金或无氧铜</w:t>
                  </w:r>
                </w:p>
              </w:tc>
            </w:tr>
            <w:tr w14:paraId="2F7BF21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  <w:jc w:val="center"/>
              </w:trPr>
              <w:tc>
                <w:tcPr>
                  <w:tcW w:w="339" w:type="dxa"/>
                  <w:vAlign w:val="center"/>
                </w:tcPr>
                <w:p w14:paraId="28AE1753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  <w:lang w:val="en-US" w:eastAsia="zh-CN"/>
                    </w:rPr>
                    <w:t>2</w:t>
                  </w:r>
                  <w:r>
                    <w:rPr>
                      <w:rFonts w:hint="eastAsia" w:ascii="宋体" w:hAnsi="宋体"/>
                      <w:iCs/>
                      <w:szCs w:val="21"/>
                    </w:rPr>
                    <w:t>2</w:t>
                  </w:r>
                </w:p>
              </w:tc>
              <w:tc>
                <w:tcPr>
                  <w:tcW w:w="1132" w:type="dxa"/>
                  <w:vAlign w:val="center"/>
                </w:tcPr>
                <w:p w14:paraId="39C19CE6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支撑</w:t>
                  </w:r>
                </w:p>
              </w:tc>
              <w:tc>
                <w:tcPr>
                  <w:tcW w:w="3408" w:type="dxa"/>
                  <w:vAlign w:val="center"/>
                </w:tcPr>
                <w:p w14:paraId="53AD03E9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天然花岗岩</w:t>
                  </w:r>
                </w:p>
              </w:tc>
            </w:tr>
            <w:tr w14:paraId="58FF745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  <w:jc w:val="center"/>
              </w:trPr>
              <w:tc>
                <w:tcPr>
                  <w:tcW w:w="339" w:type="dxa"/>
                  <w:vAlign w:val="center"/>
                </w:tcPr>
                <w:p w14:paraId="41040EAA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 w:ascii="宋体" w:hAnsi="宋体"/>
                      <w:iCs/>
                      <w:szCs w:val="21"/>
                    </w:rPr>
                    <w:t>3</w:t>
                  </w:r>
                </w:p>
              </w:tc>
              <w:tc>
                <w:tcPr>
                  <w:tcW w:w="1132" w:type="dxa"/>
                  <w:vAlign w:val="center"/>
                </w:tcPr>
                <w:p w14:paraId="53B35836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波纹管</w:t>
                  </w:r>
                </w:p>
              </w:tc>
              <w:tc>
                <w:tcPr>
                  <w:tcW w:w="3408" w:type="dxa"/>
                  <w:vAlign w:val="center"/>
                </w:tcPr>
                <w:p w14:paraId="224C0242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316L或316不锈钢</w:t>
                  </w:r>
                </w:p>
              </w:tc>
            </w:tr>
            <w:tr w14:paraId="5BD3848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0" w:hRule="atLeast"/>
                <w:jc w:val="center"/>
              </w:trPr>
              <w:tc>
                <w:tcPr>
                  <w:tcW w:w="339" w:type="dxa"/>
                  <w:vAlign w:val="center"/>
                </w:tcPr>
                <w:p w14:paraId="5B20248C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eastAsia" w:ascii="宋体" w:hAnsi="宋体"/>
                      <w:iCs/>
                      <w:szCs w:val="21"/>
                    </w:rPr>
                    <w:t>4</w:t>
                  </w:r>
                </w:p>
              </w:tc>
              <w:tc>
                <w:tcPr>
                  <w:tcW w:w="1132" w:type="dxa"/>
                  <w:vAlign w:val="center"/>
                </w:tcPr>
                <w:p w14:paraId="7B26E5FF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法兰窗片</w:t>
                  </w:r>
                </w:p>
              </w:tc>
              <w:tc>
                <w:tcPr>
                  <w:tcW w:w="3408" w:type="dxa"/>
                  <w:vAlign w:val="center"/>
                </w:tcPr>
                <w:p w14:paraId="1E52715B">
                  <w:pPr>
                    <w:tabs>
                      <w:tab w:val="left" w:pos="6915"/>
                    </w:tabs>
                    <w:spacing w:line="240" w:lineRule="auto"/>
                    <w:ind w:firstLine="420" w:firstLineChars="200"/>
                    <w:jc w:val="left"/>
                    <w:rPr>
                      <w:rFonts w:hint="eastAsia" w:ascii="宋体" w:hAnsi="宋体"/>
                      <w:iCs/>
                      <w:szCs w:val="21"/>
                    </w:rPr>
                  </w:pPr>
                  <w:r>
                    <w:rPr>
                      <w:rFonts w:hint="eastAsia" w:ascii="宋体" w:hAnsi="宋体"/>
                      <w:iCs/>
                      <w:szCs w:val="21"/>
                    </w:rPr>
                    <w:t>高硼硅玻璃</w:t>
                  </w:r>
                </w:p>
              </w:tc>
            </w:tr>
          </w:tbl>
          <w:p w14:paraId="066832DD">
            <w:pPr>
              <w:pStyle w:val="11"/>
              <w:numPr>
                <w:ilvl w:val="0"/>
                <w:numId w:val="0"/>
              </w:numPr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D6EAD">
            <w:pPr>
              <w:keepNext w:val="0"/>
              <w:keepLines w:val="0"/>
              <w:framePr w:hSpace="180" w:wrap="around" w:vAnchor="text" w:hAnchor="margin" w:xAlign="center" w:y="182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Cs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交货期：</w:t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乙方于图纸确认后6个月将货物送达至甲方指定地点。</w:t>
            </w:r>
          </w:p>
          <w:p w14:paraId="6295B3FE">
            <w:pPr>
              <w:keepNext w:val="0"/>
              <w:keepLines w:val="0"/>
              <w:framePr w:hSpace="180" w:wrap="around" w:vAnchor="text" w:hAnchor="margin" w:xAlign="center" w:y="182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iCs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交付进度：</w:t>
            </w:r>
          </w:p>
          <w:p w14:paraId="4981FF48">
            <w:pPr>
              <w:keepNext w:val="0"/>
              <w:keepLines w:val="0"/>
              <w:framePr w:hSpace="180" w:wrap="around" w:vAnchor="text" w:hAnchor="margin" w:xAlign="center" w:y="182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Cs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1) 合同签订后1个月内由乙方提供图纸，并需由甲方签字确认；</w:t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2) 图纸确认后6个月内完成产品加工；</w:t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3) 发货前提供出厂检验/测试报告；</w:t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4) 到货后完成开箱验收、安装指导/调试支持及使用培训。</w:t>
            </w:r>
          </w:p>
          <w:p w14:paraId="5A5188E9">
            <w:pPr>
              <w:keepNext w:val="0"/>
              <w:keepLines w:val="0"/>
              <w:framePr w:hSpace="180" w:wrap="around" w:vAnchor="text" w:hAnchor="margin" w:xAlign="center" w:y="182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Cs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付款方式：</w:t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合同签订后预付40%货款，60%尾款到货且验收合格后付清。</w:t>
            </w:r>
          </w:p>
          <w:p w14:paraId="2B5B29C4">
            <w:pPr>
              <w:keepNext w:val="0"/>
              <w:keepLines w:val="0"/>
              <w:framePr w:hSpace="180" w:wrap="around" w:vAnchor="text" w:hAnchor="margin" w:xAlign="center" w:y="182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Cs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验收指标及验收要求：</w:t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提供出厂合格证或者出厂测试报告。</w:t>
            </w:r>
          </w:p>
          <w:p w14:paraId="6AE28C4B">
            <w:pPr>
              <w:keepNext w:val="0"/>
              <w:keepLines w:val="0"/>
              <w:framePr w:hSpace="180" w:wrap="around" w:vAnchor="text" w:hAnchor="margin" w:xAlign="center" w:y="182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iCs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阶段性检查要求：</w:t>
            </w:r>
          </w:p>
          <w:p w14:paraId="349ED482">
            <w:pPr>
              <w:keepNext w:val="0"/>
              <w:keepLines w:val="0"/>
              <w:framePr w:hSpace="180" w:wrap="around" w:vAnchor="text" w:hAnchor="margin" w:xAlign="center" w:y="182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Cs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1) 图纸/接口尺寸确认；</w:t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2) 出厂前阶段性检查：关键部件装配、漏检与功能测试记录；</w:t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3) 发货前可进行远程或现场预验收。</w:t>
            </w:r>
          </w:p>
          <w:p w14:paraId="61AD3DEE">
            <w:pPr>
              <w:keepNext w:val="0"/>
              <w:keepLines w:val="0"/>
              <w:framePr w:hSpace="180" w:wrap="around" w:vAnchor="text" w:hAnchor="margin" w:xAlign="center" w:y="182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Cs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保修及售后服务：</w:t>
            </w: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乙方对其所提供设备的免费保修期为12个月。质保期内，非认为故障所需更换的零部件，不另外收取人工费和差旅费。</w:t>
            </w:r>
          </w:p>
          <w:p w14:paraId="55F5A3F3">
            <w:pPr>
              <w:keepNext w:val="0"/>
              <w:keepLines w:val="0"/>
              <w:framePr w:hSpace="180" w:wrap="around" w:vAnchor="text" w:hAnchor="margin" w:xAlign="center" w:y="182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iCs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其它：</w:t>
            </w:r>
          </w:p>
          <w:p w14:paraId="59F6571E">
            <w:pPr>
              <w:keepNext w:val="0"/>
              <w:keepLines w:val="0"/>
              <w:framePr w:hSpace="180" w:wrap="around" w:vAnchor="text" w:hAnchor="margin" w:xAlign="center" w:y="182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Cs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iCs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厂家近2年需具有超高真空精密四刀光阑或狭缝的承接合同，其中运动分辨率不低于5微米；</w:t>
            </w:r>
          </w:p>
          <w:p w14:paraId="21B33F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Times New Roman"/>
                <w:iCs/>
                <w:kern w:val="2"/>
                <w:sz w:val="21"/>
                <w:szCs w:val="21"/>
                <w:lang w:val="en-US" w:eastAsia="zh-CN" w:bidi="ar"/>
              </w:rPr>
              <w:t>具有ISO9000质量体系认证。</w:t>
            </w:r>
          </w:p>
          <w:p w14:paraId="4867FE1C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bookmarkStart w:id="2" w:name="_GoBack"/>
            <w:bookmarkEnd w:id="2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2D921DB7"/>
    <w:rsid w:val="45962D0F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1299</Words>
  <Characters>1445</Characters>
  <Lines>4</Lines>
  <Paragraphs>1</Paragraphs>
  <TotalTime>0</TotalTime>
  <ScaleCrop>false</ScaleCrop>
  <LinksUpToDate>false</LinksUpToDate>
  <CharactersWithSpaces>1506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2026-06-04T02:24:59Z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