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bookmarkStart w:id="1" w:name="_GoBack"/>
      <w:r>
        <w:rPr>
          <w:rFonts w:hint="eastAsia"/>
          <w:sz w:val="36"/>
        </w:rPr>
        <w:t>技术指标供应商确认表</w:t>
      </w:r>
    </w:p>
    <w:bookmarkEnd w:id="1"/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3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双通道同步信号源</w:t>
            </w:r>
          </w:p>
        </w:tc>
        <w:tc>
          <w:tcPr>
            <w:tcW w:w="5322" w:type="dxa"/>
            <w:vAlign w:val="center"/>
          </w:tcPr>
          <w:p w14:paraId="4F64E47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bookmarkStart w:id="0" w:name="OLE_LINK16"/>
            <w:r>
              <w:rPr>
                <w:rFonts w:hint="eastAsia" w:ascii="宋体" w:hAnsi="宋体" w:cs="宋体"/>
                <w:bCs/>
                <w:sz w:val="24"/>
              </w:rPr>
              <w:t>频率范围：10MHz—12GHz；</w:t>
            </w:r>
          </w:p>
          <w:p w14:paraId="6C9E698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功率范围：-110dBm</w:t>
            </w:r>
            <w:r>
              <w:rPr>
                <w:rFonts w:hint="eastAsia" w:ascii="微软雅黑" w:hAnsi="微软雅黑" w:eastAsia="微软雅黑" w:cs="微软雅黑"/>
                <w:bCs/>
                <w:sz w:val="24"/>
                <w:szCs w:val="24"/>
                <w:lang w:val="en-US" w:eastAsia="zh-CN"/>
              </w:rPr>
              <w:t>~</w:t>
            </w:r>
            <w:r>
              <w:rPr>
                <w:rFonts w:hint="eastAsia" w:ascii="宋体" w:hAnsi="宋体" w:cs="宋体"/>
                <w:bCs/>
                <w:sz w:val="24"/>
              </w:rPr>
              <w:t>+15dBm；</w:t>
            </w:r>
          </w:p>
          <w:p w14:paraId="14440D6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通道数：2，可独立调节频率、幅度，并支持同步设置；</w:t>
            </w:r>
          </w:p>
          <w:p w14:paraId="11C317D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相位噪声：</w:t>
            </w:r>
          </w:p>
          <w:p w14:paraId="670C132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100MHz：≤-152dBc/Hz@1kHz、≤-161dBc/Hz@10kHz、≤-165dBc/Hz@1MHz，</w:t>
            </w:r>
          </w:p>
          <w:p w14:paraId="317EB02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1GHz：≤-140dBc/Hz@1kHz、≤-148dBc/Hz@10kHz、≤-155dBc/Hz@1MHz，</w:t>
            </w:r>
          </w:p>
          <w:p w14:paraId="04764A6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10GHz：≤-122dBc/Hz@1kHz、≤-130dBc/Hz@10kHz、≤-140dBc/Hz@1MHz；</w:t>
            </w:r>
          </w:p>
          <w:p w14:paraId="49112D3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杂波： ＜-85dBc（10MHz至6GHz）、＜-80dBc（6GHz至12GHz）；</w:t>
            </w:r>
          </w:p>
          <w:p w14:paraId="3300114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谐波： ＜-75dBc（10MHz至1GHz）、＜-55dBc（1GHz至12GHz）。</w:t>
            </w:r>
          </w:p>
          <w:bookmarkEnd w:id="0"/>
          <w:p w14:paraId="2F62C33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数量：1台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8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4F47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90天内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7F6E8E97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33454A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签订合同后支付合同总金额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%，验收后支付合同金额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0%</w:t>
            </w:r>
          </w:p>
          <w:p w14:paraId="332CE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以厂家出厂合格证作为验收依据</w:t>
            </w:r>
          </w:p>
          <w:p w14:paraId="4006AC8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bCs w:val="0"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质保期两年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114B475B"/>
    <w:rsid w:val="12E879B8"/>
    <w:rsid w:val="36D34463"/>
    <w:rsid w:val="38C84348"/>
    <w:rsid w:val="424D68E3"/>
    <w:rsid w:val="60854C98"/>
    <w:rsid w:val="667E6061"/>
    <w:rsid w:val="6A7D0963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575</Words>
  <Characters>654</Characters>
  <Lines>0</Lines>
  <Paragraphs>0</Paragraphs>
  <TotalTime>0</TotalTime>
  <ScaleCrop>false</ScaleCrop>
  <LinksUpToDate>false</LinksUpToDate>
  <CharactersWithSpaces>666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2026-10-13T07:10:04Z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6A42DB7AC93D4470AC682BFFB71DD368_13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