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tabs>
                <w:tab w:val="left" w:pos="6915"/>
              </w:tabs>
              <w:spacing w:line="24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Ф300 mm光学反射镜（标准样件）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4C26987F">
            <w:pPr>
              <w:adjustRightInd w:val="0"/>
              <w:snapToGrid w:val="0"/>
              <w:spacing w:line="24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此次采购Ф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光学反射镜共计3件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规格包括球面及平面两种，</w:t>
            </w:r>
            <w:r>
              <w:rPr>
                <w:sz w:val="24"/>
                <w:szCs w:val="24"/>
              </w:rPr>
              <w:t>技术要求如下：</w:t>
            </w:r>
          </w:p>
          <w:p w14:paraId="47FCE221">
            <w:pPr>
              <w:tabs>
                <w:tab w:val="left" w:pos="6915"/>
              </w:tabs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bCs/>
                <w:sz w:val="24"/>
                <w:szCs w:val="24"/>
              </w:rPr>
              <w:t>球面光学反射镜：</w:t>
            </w:r>
          </w:p>
          <w:p w14:paraId="4B7BF53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材质要求：ULE玻璃；</w:t>
            </w:r>
          </w:p>
          <w:p w14:paraId="6D7A0D2C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反射镜尺寸要求：</w:t>
            </w:r>
            <w:r>
              <w:rPr>
                <w:sz w:val="24"/>
                <w:szCs w:val="24"/>
              </w:rPr>
              <w:t>Ф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，曲率半径R：-286.464 mm，有效口径要求≥280mm；</w:t>
            </w:r>
          </w:p>
          <w:p w14:paraId="7E584FE9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正面面形要求≤</w:t>
            </w:r>
            <w:r>
              <w:rPr>
                <w:sz w:val="24"/>
                <w:szCs w:val="24"/>
              </w:rPr>
              <w:t>λ/8</w:t>
            </w:r>
            <w:r>
              <w:rPr>
                <w:rFonts w:hint="eastAsia"/>
                <w:sz w:val="24"/>
                <w:szCs w:val="24"/>
              </w:rPr>
              <w:t>，中频、高频粗糙度要求≤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0.2 nm RMS，背面精磨；</w:t>
            </w:r>
          </w:p>
          <w:p w14:paraId="1CFE9276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数量：2件；</w:t>
            </w:r>
          </w:p>
          <w:p w14:paraId="6D45733C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spacing w:line="240" w:lineRule="auto"/>
              <w:ind w:left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/>
                <w:bCs/>
                <w:sz w:val="24"/>
                <w:szCs w:val="24"/>
              </w:rPr>
              <w:t>平面光学反射镜：</w:t>
            </w:r>
          </w:p>
          <w:p w14:paraId="1C62B1BF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材质要求：ULE玻璃；</w:t>
            </w:r>
          </w:p>
          <w:p w14:paraId="1149A41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反射镜尺寸要求：</w:t>
            </w:r>
            <w:r>
              <w:rPr>
                <w:sz w:val="24"/>
                <w:szCs w:val="24"/>
              </w:rPr>
              <w:t>Ф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，有效口径要求≥280mm；</w:t>
            </w:r>
          </w:p>
          <w:p w14:paraId="5127ABB7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正面面形要求≤</w:t>
            </w:r>
            <w:r>
              <w:rPr>
                <w:sz w:val="24"/>
                <w:szCs w:val="24"/>
              </w:rPr>
              <w:t>λ/</w:t>
            </w:r>
            <w:r>
              <w:rPr>
                <w:rFonts w:hint="eastAsia"/>
                <w:sz w:val="24"/>
                <w:szCs w:val="24"/>
              </w:rPr>
              <w:t>15，中频、高频粗糙度要求≤0.2 nm RMS，背面精磨；</w:t>
            </w:r>
          </w:p>
          <w:p w14:paraId="15BA1A59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数量：1件；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69F1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70日内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42F2A1B0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6B70F06A">
            <w:pPr>
              <w:spacing w:line="240" w:lineRule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>合同签订后支付合同总价的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0%；货物到达买家指定地点并经买家验收合格后，支付合同总价的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0%。</w:t>
            </w:r>
          </w:p>
          <w:p w14:paraId="25554F0A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</w:p>
          <w:p w14:paraId="38C894AB">
            <w:pPr>
              <w:widowControl/>
              <w:tabs>
                <w:tab w:val="left" w:pos="312"/>
              </w:tabs>
              <w:spacing w:line="240" w:lineRule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（1）设备出厂时，供应商须提供产品出厂检测报告；</w:t>
            </w:r>
          </w:p>
          <w:p w14:paraId="6CDB5BB5">
            <w:pPr>
              <w:widowControl/>
              <w:tabs>
                <w:tab w:val="left" w:pos="312"/>
              </w:tabs>
              <w:spacing w:line="240" w:lineRule="auto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（2）设备到达指定现场后，由采购方组织</w:t>
            </w:r>
            <w:r>
              <w:rPr>
                <w:rFonts w:hint="eastAsia"/>
                <w:sz w:val="24"/>
                <w:szCs w:val="24"/>
              </w:rPr>
              <w:t>组织采购、供应商双方及相关管理技术人员共同完成验收工作，</w:t>
            </w:r>
            <w:r>
              <w:rPr>
                <w:rFonts w:hint="eastAsia"/>
                <w:kern w:val="0"/>
                <w:sz w:val="24"/>
                <w:szCs w:val="24"/>
              </w:rPr>
              <w:t>对产品指标进行现场检测并形成符合技术要求的测试报告。</w:t>
            </w:r>
          </w:p>
          <w:p w14:paraId="6D0549E2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</w:p>
          <w:p w14:paraId="6F0DF0F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供应商提供不少于1年的质保服务，质保期内发生质量问题的，乙方应自接到甲方异议之日起3个工作日内响应并提出有效解决方案，所产生的费用由乙方承担；乙方需要提供相应技术支持，确保甲方能够及时有效的使用设备。</w:t>
            </w:r>
          </w:p>
          <w:p w14:paraId="0AB7402A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其它：</w:t>
            </w:r>
          </w:p>
          <w:p w14:paraId="084261FC">
            <w:pPr>
              <w:tabs>
                <w:tab w:val="left" w:pos="6915"/>
              </w:tabs>
              <w:spacing w:line="240" w:lineRule="auto"/>
              <w:jc w:val="left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包装：包装必须符合所采用的运输方式的要求，并要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  <w:p w14:paraId="79332B6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运输：陆运(公路或铁路) 或空运。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BF1B13"/>
    <w:multiLevelType w:val="multilevel"/>
    <w:tmpl w:val="7FBF1B13"/>
    <w:lvl w:ilvl="0" w:tentative="0">
      <w:start w:val="1"/>
      <w:numFmt w:val="bullet"/>
      <w:lvlText w:val=""/>
      <w:lvlJc w:val="left"/>
      <w:pPr>
        <w:ind w:left="80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2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6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4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8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83B65BD"/>
    <w:rsid w:val="2D8C5ECA"/>
    <w:rsid w:val="38C84348"/>
    <w:rsid w:val="3BAC3AF0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624</Words>
  <Characters>670</Characters>
  <Lines>0</Lines>
  <Paragraphs>0</Paragraphs>
  <TotalTime>0</TotalTime>
  <ScaleCrop>false</ScaleCrop>
  <LinksUpToDate>false</LinksUpToDate>
  <CharactersWithSpaces>684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2026-10-15T08:11:07Z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0B99A36B926541768FA7D475B2D1B591_13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