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2"/>
        <w:gridCol w:w="5244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10FD52C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宋体" w:hAnsi="宋体" w:eastAsia="宋体"/>
                <w:b w:val="0"/>
                <w:bCs/>
                <w:szCs w:val="21"/>
                <w:lang w:val="en-US" w:eastAsia="zh-CN"/>
              </w:rPr>
              <w:t>逐束团反馈控制器</w:t>
            </w:r>
          </w:p>
        </w:tc>
        <w:tc>
          <w:tcPr>
            <w:tcW w:w="52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DD601AC">
            <w:pPr>
              <w:pStyle w:val="11"/>
              <w:numPr>
                <w:ilvl w:val="0"/>
                <w:numId w:val="0"/>
              </w:numPr>
              <w:ind w:leftChars="0"/>
              <w:rPr>
                <w:rFonts w:hint="eastAsia"/>
              </w:rPr>
            </w:pPr>
            <w:r>
              <w:rPr>
                <w:rFonts w:hint="eastAsia"/>
              </w:rPr>
              <w:t>数量：4；</w:t>
            </w:r>
          </w:p>
          <w:p w14:paraId="524E2AC9">
            <w:pPr>
              <w:pStyle w:val="11"/>
              <w:numPr>
                <w:ilvl w:val="0"/>
                <w:numId w:val="0"/>
              </w:numPr>
              <w:ind w:leftChars="0"/>
            </w:pPr>
            <w:r>
              <w:rPr>
                <w:rFonts w:hint="eastAsia"/>
                <w:lang w:val="en-US" w:eastAsia="zh-CN"/>
              </w:rPr>
              <w:t>1、</w:t>
            </w:r>
            <w:r>
              <w:rPr>
                <w:rFonts w:hint="eastAsia"/>
              </w:rPr>
              <w:t>采用载板+FMC子板架构，载板核心FPGA芯片使用</w:t>
            </w:r>
            <w:r>
              <w:t>xczu19eg</w:t>
            </w:r>
            <w:r>
              <w:rPr>
                <w:rFonts w:hint="eastAsia"/>
              </w:rPr>
              <w:t>系列芯片；</w:t>
            </w:r>
          </w:p>
          <w:p w14:paraId="7C2C509D">
            <w:pPr>
              <w:pStyle w:val="11"/>
              <w:numPr>
                <w:ilvl w:val="0"/>
                <w:numId w:val="0"/>
              </w:numPr>
              <w:ind w:left="360" w:leftChars="0" w:hanging="360" w:firstLineChars="0"/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  <w:t>2、</w:t>
            </w:r>
            <w:r>
              <w:rPr>
                <w:rFonts w:hint="eastAsia"/>
              </w:rPr>
              <w:t>通道数：4通道AD，2通道DA；</w:t>
            </w:r>
          </w:p>
          <w:p w14:paraId="4B1DA2C7">
            <w:pPr>
              <w:pStyle w:val="11"/>
              <w:numPr>
                <w:ilvl w:val="0"/>
                <w:numId w:val="0"/>
              </w:numPr>
              <w:ind w:left="360" w:leftChars="0" w:hanging="360" w:firstLineChars="0"/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  <w:t>3、</w:t>
            </w:r>
            <w:r>
              <w:rPr>
                <w:rFonts w:hint="eastAsia"/>
              </w:rPr>
              <w:t>支持外时钟和外触发，AD及DA使用同源时钟及触发；</w:t>
            </w:r>
          </w:p>
          <w:p w14:paraId="4AFA7CFE">
            <w:pPr>
              <w:pStyle w:val="11"/>
              <w:numPr>
                <w:ilvl w:val="0"/>
                <w:numId w:val="0"/>
              </w:numPr>
              <w:ind w:left="360" w:leftChars="0" w:hanging="360" w:firstLineChars="0"/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  <w:t>4、</w:t>
            </w:r>
            <w:r>
              <w:rPr>
                <w:rFonts w:hint="eastAsia"/>
              </w:rPr>
              <w:t>AD最大采样率≥1Gsps，模拟带宽≥2GHz；DA最大采样率≥6Gsps，模拟带宽≥2GHz；</w:t>
            </w:r>
          </w:p>
          <w:p w14:paraId="0699E7CE">
            <w:pPr>
              <w:pStyle w:val="11"/>
              <w:numPr>
                <w:ilvl w:val="0"/>
                <w:numId w:val="0"/>
              </w:numPr>
              <w:ind w:left="360" w:leftChars="0" w:hanging="360" w:firstLineChars="0"/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  <w:t>5、</w:t>
            </w:r>
            <w:r>
              <w:rPr>
                <w:rFonts w:hint="eastAsia"/>
              </w:rPr>
              <w:t>AD位数≥1</w:t>
            </w:r>
            <w:r>
              <w:t>4</w:t>
            </w:r>
            <w:r>
              <w:rPr>
                <w:rFonts w:hint="eastAsia"/>
              </w:rPr>
              <w:t>bit，DA位数≥1</w:t>
            </w:r>
            <w:r>
              <w:t>6</w:t>
            </w:r>
            <w:r>
              <w:rPr>
                <w:rFonts w:hint="eastAsia"/>
              </w:rPr>
              <w:t>bit；</w:t>
            </w:r>
          </w:p>
          <w:p w14:paraId="595E80E8">
            <w:pPr>
              <w:pStyle w:val="11"/>
              <w:numPr>
                <w:ilvl w:val="0"/>
                <w:numId w:val="0"/>
              </w:numPr>
              <w:ind w:left="360" w:leftChars="0" w:hanging="360" w:firstLineChars="0"/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  <w:t>6、</w:t>
            </w:r>
            <w:r>
              <w:rPr>
                <w:rFonts w:hint="eastAsia"/>
              </w:rPr>
              <w:t>提供网口，串口，光口等接口；</w:t>
            </w:r>
          </w:p>
          <w:p w14:paraId="38209696">
            <w:pPr>
              <w:pStyle w:val="11"/>
              <w:numPr>
                <w:ilvl w:val="0"/>
                <w:numId w:val="0"/>
              </w:numPr>
              <w:ind w:left="360" w:leftChars="0" w:hanging="360" w:firstLineChars="0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/>
                <w:lang w:val="en-US" w:eastAsia="zh-CN"/>
              </w:rPr>
              <w:t>7、</w:t>
            </w:r>
            <w:r>
              <w:rPr>
                <w:rFonts w:hint="eastAsia"/>
              </w:rPr>
              <w:t>1U</w:t>
            </w:r>
            <w:r>
              <w:t>19</w:t>
            </w:r>
            <w:r>
              <w:rPr>
                <w:rFonts w:hint="eastAsia"/>
              </w:rPr>
              <w:t>英寸标准机箱，模拟接口位于机箱后面板，采用SMA接口；数字接口位于前面板；电源接口位于后面板</w:t>
            </w:r>
            <w:r>
              <w:rPr>
                <w:rFonts w:hint="eastAsia"/>
                <w:lang w:eastAsia="zh-CN"/>
              </w:rPr>
              <w:t>。</w:t>
            </w: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6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844483">
            <w:pPr>
              <w:tabs>
                <w:tab w:val="left" w:pos="6915"/>
              </w:tabs>
              <w:jc w:val="left"/>
              <w:rPr>
                <w:rFonts w:hint="eastAsia"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Arial" w:hAnsi="Arial" w:eastAsia="宋体" w:cs="Arial"/>
                <w:b/>
                <w:bCs/>
                <w:szCs w:val="21"/>
                <w:shd w:val="clear" w:color="auto" w:fill="FFFFFF"/>
              </w:rPr>
              <w:t>交货期：</w:t>
            </w:r>
            <w:r>
              <w:rPr>
                <w:rFonts w:hint="eastAsia" w:ascii="Arial" w:hAnsi="Arial" w:eastAsia="宋体" w:cs="Arial"/>
                <w:szCs w:val="21"/>
                <w:shd w:val="clear" w:color="auto" w:fill="FFFFFF"/>
              </w:rPr>
              <w:t>合同签订后2个月内将货物送达甲方指定地点。</w:t>
            </w:r>
          </w:p>
          <w:p w14:paraId="3EC3FE54">
            <w:pPr>
              <w:tabs>
                <w:tab w:val="left" w:pos="6915"/>
              </w:tabs>
              <w:jc w:val="left"/>
              <w:rPr>
                <w:rFonts w:hint="eastAsia"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Arial" w:hAnsi="Arial" w:eastAsia="宋体" w:cs="Arial"/>
                <w:b/>
                <w:bCs/>
                <w:szCs w:val="21"/>
                <w:shd w:val="clear" w:color="auto" w:fill="FFFFFF"/>
              </w:rPr>
              <w:t>付款方式：</w:t>
            </w:r>
            <w:r>
              <w:rPr>
                <w:rFonts w:hint="eastAsia" w:ascii="Arial" w:hAnsi="Arial" w:eastAsia="宋体" w:cs="Arial"/>
                <w:szCs w:val="21"/>
                <w:shd w:val="clear" w:color="auto" w:fill="FFFFFF"/>
              </w:rPr>
              <w:t>合同签订后</w:t>
            </w:r>
            <w:r>
              <w:rPr>
                <w:rFonts w:hint="eastAsia" w:ascii="Arial" w:hAnsi="Arial" w:eastAsia="宋体" w:cs="Arial"/>
                <w:szCs w:val="21"/>
                <w:shd w:val="clear" w:color="auto" w:fill="FFFFFF"/>
                <w:lang w:val="en-US" w:eastAsia="zh-CN"/>
              </w:rPr>
              <w:t>支付合同总额的</w:t>
            </w:r>
            <w:r>
              <w:rPr>
                <w:rFonts w:hint="eastAsia" w:ascii="Arial" w:hAnsi="Arial" w:eastAsia="宋体" w:cs="Arial"/>
                <w:szCs w:val="21"/>
                <w:shd w:val="clear" w:color="auto" w:fill="FFFFFF"/>
              </w:rPr>
              <w:t>50%，货到验收</w:t>
            </w:r>
            <w:r>
              <w:rPr>
                <w:rFonts w:hint="eastAsia" w:ascii="Arial" w:hAnsi="Arial" w:eastAsia="宋体" w:cs="Arial"/>
                <w:szCs w:val="21"/>
                <w:shd w:val="clear" w:color="auto" w:fill="FFFFFF"/>
                <w:lang w:val="en-US" w:eastAsia="zh-CN"/>
              </w:rPr>
              <w:t>合格</w:t>
            </w:r>
            <w:r>
              <w:rPr>
                <w:rFonts w:hint="eastAsia" w:ascii="Arial" w:hAnsi="Arial" w:eastAsia="宋体" w:cs="Arial"/>
                <w:szCs w:val="21"/>
                <w:shd w:val="clear" w:color="auto" w:fill="FFFFFF"/>
              </w:rPr>
              <w:t>后凭发票报销时付尾款。</w:t>
            </w:r>
          </w:p>
          <w:p w14:paraId="6008ABF1">
            <w:pPr>
              <w:tabs>
                <w:tab w:val="left" w:pos="6915"/>
              </w:tabs>
              <w:jc w:val="left"/>
              <w:rPr>
                <w:rFonts w:hint="eastAsia"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Arial" w:hAnsi="Arial" w:eastAsia="宋体" w:cs="Arial"/>
                <w:b/>
                <w:bCs/>
                <w:szCs w:val="21"/>
                <w:shd w:val="clear" w:color="auto" w:fill="FFFFFF"/>
              </w:rPr>
              <w:t>验收指标及验收要求：</w:t>
            </w:r>
            <w:r>
              <w:rPr>
                <w:rFonts w:hint="eastAsia" w:ascii="Arial" w:hAnsi="Arial" w:eastAsia="宋体" w:cs="Arial"/>
                <w:szCs w:val="21"/>
                <w:shd w:val="clear" w:color="auto" w:fill="FFFFFF"/>
              </w:rPr>
              <w:t>调试终端为标准化电子设备，品牌机由原厂提供质量合格证。</w:t>
            </w:r>
          </w:p>
          <w:p w14:paraId="687C69FC">
            <w:pPr>
              <w:tabs>
                <w:tab w:val="left" w:pos="6915"/>
              </w:tabs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Arial" w:hAnsi="Arial" w:eastAsia="宋体" w:cs="Arial"/>
                <w:b/>
                <w:bCs/>
                <w:szCs w:val="21"/>
                <w:shd w:val="clear" w:color="auto" w:fill="FFFFFF"/>
              </w:rPr>
              <w:t>保修及售后服务：</w:t>
            </w:r>
            <w:r>
              <w:rPr>
                <w:rFonts w:hint="eastAsia" w:ascii="Arial" w:hAnsi="Arial" w:eastAsia="宋体" w:cs="Arial"/>
                <w:szCs w:val="21"/>
                <w:shd w:val="clear" w:color="auto" w:fill="FFFFFF"/>
              </w:rPr>
              <w:t>产品质保期为36个月，时间自验收合格之日起计算，或者按厂家国家通常三包质保和售后，以两个时间中更长的时间质保。</w:t>
            </w:r>
            <w:bookmarkStart w:id="0" w:name="_GoBack"/>
            <w:bookmarkEnd w:id="0"/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6DFFEB29">
      <w:pPr>
        <w:ind w:right="840"/>
        <w:rPr>
          <w:sz w:val="24"/>
        </w:rPr>
      </w:pPr>
    </w:p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25804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438B5"/>
    <w:rsid w:val="00363C73"/>
    <w:rsid w:val="003923FC"/>
    <w:rsid w:val="003C2330"/>
    <w:rsid w:val="003C7C5A"/>
    <w:rsid w:val="004626C3"/>
    <w:rsid w:val="00474B94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0C7718F8"/>
    <w:rsid w:val="2D070EC5"/>
    <w:rsid w:val="46BB5348"/>
    <w:rsid w:val="51936088"/>
    <w:rsid w:val="668D654E"/>
    <w:rsid w:val="7EC55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434</Words>
  <Characters>486</Characters>
  <Lines>4</Lines>
  <Paragraphs>1</Paragraphs>
  <TotalTime>0</TotalTime>
  <ScaleCrop>false</ScaleCrop>
  <LinksUpToDate>false</LinksUpToDate>
  <CharactersWithSpaces>515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2026-06-05T02:01:18Z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