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t>硅基光学条形元件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7210D9C9">
            <w:pPr>
              <w:pStyle w:val="5"/>
              <w:numPr>
                <w:ilvl w:val="0"/>
                <w:numId w:val="1"/>
              </w:numPr>
              <w:tabs>
                <w:tab w:val="left" w:pos="6915"/>
                <w:tab w:val="clear" w:pos="-420"/>
              </w:tabs>
              <w:spacing w:line="240" w:lineRule="auto"/>
              <w:ind w:left="380" w:leftChars="0"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材质要求：单晶硅；</w:t>
            </w:r>
          </w:p>
          <w:p w14:paraId="0B7FE35E">
            <w:pPr>
              <w:pStyle w:val="5"/>
              <w:numPr>
                <w:ilvl w:val="0"/>
                <w:numId w:val="1"/>
              </w:numPr>
              <w:tabs>
                <w:tab w:val="left" w:pos="6915"/>
                <w:tab w:val="clear" w:pos="-420"/>
              </w:tabs>
              <w:spacing w:line="240" w:lineRule="auto"/>
              <w:ind w:left="380" w:leftChars="0"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样件尺寸要求150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，有效口径：≥1</w:t>
            </w:r>
            <w:r>
              <w:rPr>
                <w:sz w:val="24"/>
                <w:szCs w:val="24"/>
              </w:rPr>
              <w:t>30mm×20mm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44423DA1">
            <w:pPr>
              <w:pStyle w:val="5"/>
              <w:numPr>
                <w:ilvl w:val="0"/>
                <w:numId w:val="1"/>
              </w:numPr>
              <w:tabs>
                <w:tab w:val="left" w:pos="6915"/>
                <w:tab w:val="clear" w:pos="-420"/>
              </w:tabs>
              <w:spacing w:line="240" w:lineRule="auto"/>
              <w:ind w:left="380" w:leftChars="0"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光学面</w:t>
            </w:r>
            <w:r>
              <w:rPr>
                <w:bCs/>
                <w:sz w:val="24"/>
                <w:szCs w:val="24"/>
              </w:rPr>
              <w:t>面形</w:t>
            </w:r>
            <w:r>
              <w:rPr>
                <w:rFonts w:hint="eastAsia"/>
                <w:bCs/>
                <w:sz w:val="24"/>
                <w:szCs w:val="24"/>
              </w:rPr>
              <w:t>斜率误差</w:t>
            </w:r>
            <w:r>
              <w:rPr>
                <w:rFonts w:ascii="宋体" w:hAnsi="宋体"/>
                <w:bCs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0.3 μrad，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50mm</w:t>
            </w:r>
            <w:r>
              <w:rPr>
                <w:rFonts w:hint="eastAsia"/>
                <w:sz w:val="24"/>
                <w:szCs w:val="24"/>
              </w:rPr>
              <w:t>长度方向半径：≥5</w:t>
            </w:r>
            <w:r>
              <w:rPr>
                <w:sz w:val="24"/>
                <w:szCs w:val="24"/>
              </w:rPr>
              <w:t>0 km</w:t>
            </w:r>
            <w:r>
              <w:rPr>
                <w:rFonts w:hint="eastAsia"/>
                <w:sz w:val="24"/>
                <w:szCs w:val="24"/>
              </w:rPr>
              <w:t>，3</w:t>
            </w:r>
            <w:r>
              <w:rPr>
                <w:sz w:val="24"/>
                <w:szCs w:val="24"/>
              </w:rPr>
              <w:t>0 m</w:t>
            </w:r>
            <w:r>
              <w:rPr>
                <w:rFonts w:hint="eastAsia"/>
                <w:sz w:val="24"/>
                <w:szCs w:val="24"/>
              </w:rPr>
              <w:t>宽度方向半径：≥2</w:t>
            </w:r>
            <w:r>
              <w:rPr>
                <w:sz w:val="24"/>
                <w:szCs w:val="24"/>
              </w:rPr>
              <w:t>0 km</w:t>
            </w:r>
            <w:r>
              <w:rPr>
                <w:rFonts w:hint="eastAsia"/>
                <w:sz w:val="24"/>
                <w:szCs w:val="24"/>
              </w:rPr>
              <w:t>；</w:t>
            </w:r>
            <w:r>
              <w:rPr>
                <w:sz w:val="24"/>
                <w:szCs w:val="24"/>
              </w:rPr>
              <w:t>粗糙度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0.3nm RMS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09C3076A">
            <w:pPr>
              <w:pStyle w:val="5"/>
              <w:numPr>
                <w:ilvl w:val="0"/>
                <w:numId w:val="1"/>
              </w:numPr>
              <w:tabs>
                <w:tab w:val="left" w:pos="6915"/>
                <w:tab w:val="clear" w:pos="-420"/>
              </w:tabs>
              <w:spacing w:line="240" w:lineRule="auto"/>
              <w:ind w:left="380" w:leftChars="0" w:firstLine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数量：3件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70日内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379C6791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161F788E">
            <w:pPr>
              <w:spacing w:line="240" w:lineRule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>合同签订后支付合同总价的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0%；货物到达买家指定地点并经买家验收合格后，支付合同总价的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0%。</w:t>
            </w:r>
          </w:p>
          <w:p w14:paraId="2CA049DC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</w:p>
          <w:p w14:paraId="62B52692">
            <w:pPr>
              <w:widowControl/>
              <w:tabs>
                <w:tab w:val="left" w:pos="312"/>
              </w:tabs>
              <w:spacing w:line="240" w:lineRule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（1）设备出厂时，供应商须提供产品出厂检测报告；</w:t>
            </w:r>
          </w:p>
          <w:p w14:paraId="5A958FD8">
            <w:pPr>
              <w:widowControl/>
              <w:tabs>
                <w:tab w:val="left" w:pos="312"/>
              </w:tabs>
              <w:spacing w:line="240" w:lineRule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（2）设备到达指定现场后，由采购方组织</w:t>
            </w:r>
            <w:r>
              <w:rPr>
                <w:rFonts w:hint="eastAsia"/>
                <w:sz w:val="24"/>
                <w:szCs w:val="24"/>
              </w:rPr>
              <w:t>组织采购、供应商双方及相关管理技术人员共同完成验收工作，</w:t>
            </w:r>
            <w:r>
              <w:rPr>
                <w:rFonts w:hint="eastAsia"/>
                <w:kern w:val="0"/>
                <w:sz w:val="24"/>
                <w:szCs w:val="24"/>
              </w:rPr>
              <w:t>对产品指标进行现场检测并形成符合技术要求的测试报告。</w:t>
            </w:r>
          </w:p>
          <w:p w14:paraId="6BF551B0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</w:p>
          <w:p w14:paraId="1D800D0E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供应商提供不少于1年的质保服务</w:t>
            </w:r>
            <w:r>
              <w:rPr>
                <w:rFonts w:hint="eastAsia"/>
                <w:kern w:val="0"/>
                <w:sz w:val="24"/>
                <w:szCs w:val="24"/>
              </w:rPr>
              <w:t>。质保期内，甲方在后续工艺处理中，光学元件表面如出现深度不超过</w:t>
            </w:r>
            <w:r>
              <w:rPr>
                <w:kern w:val="0"/>
                <w:sz w:val="24"/>
                <w:szCs w:val="24"/>
              </w:rPr>
              <w:t>3</w:t>
            </w:r>
            <w:r>
              <w:rPr>
                <w:rFonts w:hint="eastAsia"/>
                <w:kern w:val="0"/>
                <w:sz w:val="24"/>
                <w:szCs w:val="24"/>
              </w:rPr>
              <w:t>0纳米亮丝、麻点等问题时，乙方负责免费处理，时间不超过</w:t>
            </w:r>
            <w:r>
              <w:rPr>
                <w:kern w:val="0"/>
                <w:sz w:val="24"/>
                <w:szCs w:val="24"/>
              </w:rPr>
              <w:t>5</w:t>
            </w:r>
            <w:r>
              <w:rPr>
                <w:rFonts w:hint="eastAsia"/>
                <w:kern w:val="0"/>
                <w:sz w:val="24"/>
                <w:szCs w:val="24"/>
              </w:rPr>
              <w:t>个工作日。乙方需要</w:t>
            </w:r>
            <w:r>
              <w:rPr>
                <w:kern w:val="0"/>
                <w:sz w:val="24"/>
                <w:szCs w:val="24"/>
              </w:rPr>
              <w:t>提供相应技术支持</w:t>
            </w:r>
            <w:r>
              <w:rPr>
                <w:rFonts w:hint="eastAsia"/>
                <w:kern w:val="0"/>
                <w:sz w:val="24"/>
                <w:szCs w:val="24"/>
              </w:rPr>
              <w:t>，确保甲方能够及时有效使用设备。</w:t>
            </w:r>
          </w:p>
          <w:p w14:paraId="63C950A3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其它：</w:t>
            </w:r>
          </w:p>
          <w:p w14:paraId="6B29F952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包装：包装必须符合所采用的运输方式的要求，并要便于各环节有关人员进行操作；在保证包装牢固的前提下节省费用。货物固定在箱体内，避免内部晃动。在包装箱上四个侧面的两个较大面上分别标记向上、怕湿、禁止翻转和吊装位置等符号，应清晰、可长期保持。清晰注明收货地址、收货人和发货地址，合同号、重量、包装箱的承重点等。</w:t>
            </w:r>
          </w:p>
          <w:p w14:paraId="271F172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运输：陆运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kern w:val="0"/>
                <w:sz w:val="24"/>
                <w:szCs w:val="24"/>
              </w:rPr>
              <w:t>公路或</w:t>
            </w:r>
            <w:bookmarkStart w:id="0" w:name="_GoBack"/>
            <w:bookmarkEnd w:id="0"/>
            <w:r>
              <w:rPr>
                <w:kern w:val="0"/>
                <w:sz w:val="24"/>
                <w:szCs w:val="24"/>
              </w:rPr>
              <w:t>铁路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kern w:val="0"/>
                <w:sz w:val="24"/>
                <w:szCs w:val="24"/>
              </w:rPr>
              <w:t>或空运。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D579F3"/>
    <w:multiLevelType w:val="multilevel"/>
    <w:tmpl w:val="59D579F3"/>
    <w:lvl w:ilvl="0" w:tentative="0">
      <w:start w:val="1"/>
      <w:numFmt w:val="bullet"/>
      <w:lvlText w:val=""/>
      <w:lvlJc w:val="left"/>
      <w:pPr>
        <w:tabs>
          <w:tab w:val="left" w:pos="-420"/>
        </w:tabs>
        <w:ind w:left="38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-420"/>
        </w:tabs>
        <w:ind w:left="82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-420"/>
        </w:tabs>
        <w:ind w:left="126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-420"/>
        </w:tabs>
        <w:ind w:left="170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-420"/>
        </w:tabs>
        <w:ind w:left="214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-420"/>
        </w:tabs>
        <w:ind w:left="258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-420"/>
        </w:tabs>
        <w:ind w:left="302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-420"/>
        </w:tabs>
        <w:ind w:left="346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-420"/>
        </w:tabs>
        <w:ind w:left="390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83B65BD"/>
    <w:rsid w:val="2D8C5ECA"/>
    <w:rsid w:val="38C84348"/>
    <w:rsid w:val="60854C98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884</Words>
  <Characters>1040</Characters>
  <Lines>0</Lines>
  <Paragraphs>0</Paragraphs>
  <TotalTime>0</TotalTime>
  <ScaleCrop>false</ScaleCrop>
  <LinksUpToDate>false</LinksUpToDate>
  <CharactersWithSpaces>1049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2026-10-10T07:42:12Z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E56ECA9D856247F8A23418052F7A2627_13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