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样品高精度旋转装置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4CA21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样品高精度旋转装置采购项目要求交付1套差抽旋转台，模型示意图见图1，配套附件及规格要求如下：</w:t>
            </w:r>
          </w:p>
          <w:p w14:paraId="025228FF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1、安装法兰：D</w:t>
            </w:r>
            <w:r>
              <w:rPr>
                <w:rFonts w:ascii="宋体" w:hAnsi="宋体"/>
                <w:bCs/>
                <w:szCs w:val="21"/>
              </w:rPr>
              <w:t>N</w:t>
            </w:r>
            <w:r>
              <w:rPr>
                <w:rFonts w:hint="eastAsia" w:ascii="宋体" w:hAnsi="宋体"/>
                <w:bCs/>
                <w:szCs w:val="21"/>
              </w:rPr>
              <w:t>275</w:t>
            </w:r>
            <w:r>
              <w:rPr>
                <w:rFonts w:ascii="宋体" w:hAnsi="宋体"/>
                <w:bCs/>
                <w:szCs w:val="21"/>
              </w:rPr>
              <w:t>CF</w:t>
            </w:r>
            <w:r>
              <w:rPr>
                <w:rFonts w:hint="eastAsia" w:ascii="宋体" w:hAnsi="宋体"/>
                <w:bCs/>
                <w:szCs w:val="21"/>
              </w:rPr>
              <w:t>（外径13.5英寸）；</w:t>
            </w:r>
          </w:p>
          <w:p w14:paraId="4D0B9ED1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2、旋转法兰：D</w:t>
            </w:r>
            <w:r>
              <w:rPr>
                <w:rFonts w:ascii="宋体" w:hAnsi="宋体"/>
                <w:bCs/>
                <w:szCs w:val="21"/>
              </w:rPr>
              <w:t>N</w:t>
            </w:r>
            <w:r>
              <w:rPr>
                <w:rFonts w:hint="eastAsia" w:ascii="宋体" w:hAnsi="宋体"/>
                <w:bCs/>
                <w:szCs w:val="21"/>
              </w:rPr>
              <w:t>275</w:t>
            </w:r>
            <w:r>
              <w:rPr>
                <w:rFonts w:ascii="宋体" w:hAnsi="宋体"/>
                <w:bCs/>
                <w:szCs w:val="21"/>
              </w:rPr>
              <w:t>CF</w:t>
            </w:r>
            <w:r>
              <w:rPr>
                <w:rFonts w:hint="eastAsia" w:ascii="宋体" w:hAnsi="宋体"/>
                <w:bCs/>
                <w:szCs w:val="21"/>
              </w:rPr>
              <w:t>（外径13.5英寸）；</w:t>
            </w:r>
          </w:p>
          <w:p w14:paraId="31C2C57C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3、对旋转装置高度尺寸（H）要求：H≤180</w:t>
            </w:r>
            <w:r>
              <w:rPr>
                <w:rFonts w:ascii="宋体" w:hAnsi="宋体"/>
                <w:bCs/>
                <w:szCs w:val="21"/>
              </w:rPr>
              <w:t>mm</w:t>
            </w:r>
            <w:r>
              <w:rPr>
                <w:rFonts w:hint="eastAsia" w:ascii="宋体" w:hAnsi="宋体"/>
                <w:bCs/>
                <w:szCs w:val="21"/>
              </w:rPr>
              <w:t>；（高度尺寸H不包括差分抽气口法兰）</w:t>
            </w:r>
          </w:p>
          <w:p w14:paraId="69324D41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4、包含可调限位开关，带刻度盘和游标尺；</w:t>
            </w:r>
          </w:p>
          <w:p w14:paraId="02AE564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5、支持采用步进电机或伺服电机驱动，电机安装机座为 NEMA 34 规格。交付范围不包括电机、控制器、光栅尺及真空泵</w:t>
            </w:r>
          </w:p>
          <w:p w14:paraId="72B5F87B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技术参数要求如下：</w:t>
            </w:r>
          </w:p>
          <w:p w14:paraId="77A86395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1、尺寸要求：旋转台内部通径要求≥250</w:t>
            </w:r>
            <w:r>
              <w:rPr>
                <w:rFonts w:ascii="宋体" w:hAnsi="宋体"/>
                <w:bCs/>
                <w:szCs w:val="21"/>
              </w:rPr>
              <w:t>mm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57B2F74B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2、真空漏率：≤6×10</w:t>
            </w:r>
            <w:r>
              <w:rPr>
                <w:rFonts w:hint="eastAsia" w:ascii="宋体" w:hAnsi="宋体"/>
                <w:bCs/>
                <w:szCs w:val="21"/>
                <w:vertAlign w:val="superscript"/>
              </w:rPr>
              <w:t>-8</w:t>
            </w:r>
            <w:r>
              <w:rPr>
                <w:rFonts w:ascii="宋体" w:hAnsi="宋体"/>
                <w:bCs/>
                <w:szCs w:val="21"/>
                <w:vertAlign w:val="superscript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Pa·L/s；</w:t>
            </w:r>
          </w:p>
          <w:p w14:paraId="492D0A92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3、兼容真空环境：2E-10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Torr；</w:t>
            </w:r>
          </w:p>
          <w:p w14:paraId="5F3164F1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4、负载承重：平台正向安装条件下，可承受额外负载≥120</w:t>
            </w:r>
            <w:r>
              <w:rPr>
                <w:rFonts w:ascii="宋体" w:hAnsi="宋体"/>
                <w:bCs/>
                <w:szCs w:val="21"/>
              </w:rPr>
              <w:t>kg</w:t>
            </w:r>
            <w:r>
              <w:rPr>
                <w:rFonts w:hint="eastAsia" w:ascii="宋体" w:hAnsi="宋体"/>
                <w:bCs/>
                <w:szCs w:val="21"/>
              </w:rPr>
              <w:t>；该指标为扣除大气压影响后的有效负载能力，大气压差载荷不纳入计算。</w:t>
            </w:r>
          </w:p>
          <w:p w14:paraId="03FE5CF5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5、旋转运动行程范围：≥360°；</w:t>
            </w:r>
          </w:p>
          <w:p w14:paraId="6ACC758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6、分辨率：≤0.005°；</w:t>
            </w:r>
          </w:p>
          <w:p w14:paraId="159BF67E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7、重复定位精度：≤0.01°；</w:t>
            </w:r>
          </w:p>
          <w:p w14:paraId="1057D597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8、背隙（Back</w:t>
            </w:r>
            <w:r>
              <w:rPr>
                <w:rFonts w:ascii="宋体" w:hAnsi="宋体"/>
                <w:bCs/>
                <w:szCs w:val="21"/>
              </w:rPr>
              <w:t>lash</w:t>
            </w:r>
            <w:r>
              <w:rPr>
                <w:rFonts w:hint="eastAsia" w:ascii="宋体" w:hAnsi="宋体"/>
                <w:bCs/>
                <w:szCs w:val="21"/>
              </w:rPr>
              <w:t>）：≤0.05°</w:t>
            </w:r>
          </w:p>
          <w:p w14:paraId="267F1F5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</w:p>
          <w:p w14:paraId="195145D3">
            <w:pPr>
              <w:tabs>
                <w:tab w:val="left" w:pos="6915"/>
              </w:tabs>
              <w:jc w:val="center"/>
              <w:rPr>
                <w:rFonts w:ascii="宋体" w:hAnsi="宋体"/>
                <w:b/>
                <w:szCs w:val="21"/>
              </w:rPr>
            </w:pPr>
            <w:r>
              <w:drawing>
                <wp:inline distT="0" distB="0" distL="0" distR="0">
                  <wp:extent cx="2345055" cy="1141730"/>
                  <wp:effectExtent l="0" t="0" r="17145" b="12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055" cy="1141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BBF64A">
            <w:pPr>
              <w:tabs>
                <w:tab w:val="left" w:pos="6915"/>
              </w:tabs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图1</w:t>
            </w:r>
            <w:r>
              <w:rPr>
                <w:rFonts w:ascii="宋体" w:hAnsi="宋体"/>
                <w:b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szCs w:val="21"/>
              </w:rPr>
              <w:t>样品高精度旋转装置模型示意图</w:t>
            </w:r>
          </w:p>
          <w:p w14:paraId="470A1A01">
            <w:pPr>
              <w:tabs>
                <w:tab w:val="left" w:pos="6915"/>
              </w:tabs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drawing>
                <wp:inline distT="0" distB="0" distL="0" distR="0">
                  <wp:extent cx="3106420" cy="901700"/>
                  <wp:effectExtent l="0" t="0" r="17780" b="1270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42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A23ABF">
            <w:pPr>
              <w:tabs>
                <w:tab w:val="left" w:pos="6915"/>
              </w:tabs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图2</w:t>
            </w:r>
            <w:r>
              <w:rPr>
                <w:rFonts w:ascii="宋体" w:hAnsi="宋体"/>
                <w:b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szCs w:val="21"/>
              </w:rPr>
              <w:t>样品高精度旋转装置高度尺寸示意图</w:t>
            </w:r>
          </w:p>
          <w:p w14:paraId="2E68CDB1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Cs/>
                <w:szCs w:val="21"/>
              </w:rPr>
              <w:t>5个月</w:t>
            </w:r>
          </w:p>
          <w:p w14:paraId="4861F63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一次性交付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</w:p>
          <w:p w14:paraId="063DF81A">
            <w:pPr>
              <w:tabs>
                <w:tab w:val="left" w:pos="6915"/>
              </w:tabs>
              <w:jc w:val="left"/>
              <w:rPr>
                <w:rFonts w:ascii="宋体" w:hAnsi="宋体" w:cs="宋体"/>
                <w:b/>
                <w:bCs w:val="0"/>
                <w:sz w:val="22"/>
                <w:szCs w:val="21"/>
              </w:rPr>
            </w:pPr>
            <w:r>
              <w:rPr>
                <w:rFonts w:ascii="宋体" w:hAnsi="宋体" w:cs="宋体"/>
                <w:b/>
                <w:bCs w:val="0"/>
                <w:sz w:val="22"/>
                <w:szCs w:val="21"/>
              </w:rPr>
              <w:t>付款方式</w:t>
            </w:r>
            <w:r>
              <w:rPr>
                <w:rFonts w:hint="eastAsia" w:ascii="宋体" w:hAnsi="宋体" w:cs="宋体"/>
                <w:b/>
                <w:bCs w:val="0"/>
                <w:sz w:val="22"/>
                <w:szCs w:val="21"/>
              </w:rPr>
              <w:t>：</w:t>
            </w:r>
          </w:p>
          <w:p w14:paraId="68ABA129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1）国产设备：合同签订后，支付合同总价的50%；货到指定地点并且验收合格后，支付合同总价的50%。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2）进口设备：合同签订后支付合同金额的30%预付款，凭发货单据支付60%货款，验收合格后支付10%尾款。</w:t>
            </w:r>
          </w:p>
          <w:p w14:paraId="12028ED0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以下技术参数要求厂商出具测试报告：</w:t>
            </w:r>
          </w:p>
          <w:p w14:paraId="5A59E6A7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1、真空漏率：≤6×10</w:t>
            </w:r>
            <w:r>
              <w:rPr>
                <w:rFonts w:hint="eastAsia" w:ascii="宋体" w:hAnsi="宋体"/>
                <w:bCs/>
                <w:szCs w:val="21"/>
                <w:vertAlign w:val="superscript"/>
              </w:rPr>
              <w:t>-8</w:t>
            </w:r>
            <w:r>
              <w:rPr>
                <w:rFonts w:ascii="宋体" w:hAnsi="宋体"/>
                <w:bCs/>
                <w:szCs w:val="21"/>
                <w:vertAlign w:val="superscript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Pa·L/s；</w:t>
            </w:r>
          </w:p>
          <w:p w14:paraId="45F28D4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2、兼容真空环境：2E-10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Torr；</w:t>
            </w:r>
          </w:p>
          <w:p w14:paraId="0523ADC0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3、负载承重：平台正向安装条件下，可承受额外负载≥120</w:t>
            </w:r>
            <w:r>
              <w:rPr>
                <w:rFonts w:ascii="宋体" w:hAnsi="宋体"/>
                <w:bCs/>
                <w:szCs w:val="21"/>
              </w:rPr>
              <w:t>kg</w:t>
            </w:r>
            <w:r>
              <w:rPr>
                <w:rFonts w:hint="eastAsia" w:ascii="宋体" w:hAnsi="宋体"/>
                <w:bCs/>
                <w:szCs w:val="21"/>
              </w:rPr>
              <w:t>；（不含大气压差载荷）</w:t>
            </w:r>
          </w:p>
          <w:p w14:paraId="44CD4C02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4、旋转运动行程范围：≥360°；</w:t>
            </w:r>
          </w:p>
          <w:p w14:paraId="12E9B77B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5、分辨率：≤0.005°；</w:t>
            </w:r>
          </w:p>
          <w:p w14:paraId="2B30997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6、重复定位精度：≤0.01°；</w:t>
            </w:r>
          </w:p>
          <w:p w14:paraId="46CE2D62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7</w:t>
            </w:r>
            <w:r>
              <w:rPr>
                <w:rFonts w:hint="eastAsia" w:ascii="宋体" w:hAnsi="宋体"/>
                <w:bCs/>
                <w:szCs w:val="21"/>
              </w:rPr>
              <w:t>、背隙（Back</w:t>
            </w:r>
            <w:r>
              <w:rPr>
                <w:rFonts w:ascii="宋体" w:hAnsi="宋体"/>
                <w:bCs/>
                <w:szCs w:val="21"/>
              </w:rPr>
              <w:t>lash</w:t>
            </w:r>
            <w:r>
              <w:rPr>
                <w:rFonts w:hint="eastAsia" w:ascii="宋体" w:hAnsi="宋体"/>
                <w:bCs/>
                <w:szCs w:val="21"/>
              </w:rPr>
              <w:t>）：≤0.05°</w:t>
            </w:r>
          </w:p>
          <w:p w14:paraId="5BD6E64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档案要求：</w:t>
            </w:r>
          </w:p>
          <w:p w14:paraId="14C86C3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（1）签订合同后2个月内出具加工图纸；</w:t>
            </w:r>
          </w:p>
          <w:p w14:paraId="0037841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（2）提供出厂测试报告；</w:t>
            </w:r>
          </w:p>
          <w:p w14:paraId="6AE4D0F7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该采购项目验收通过后，质保期1年。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68D654E"/>
    <w:rsid w:val="7242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2026-10-15T07:44:52Z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