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 xml:space="preserve">动态信号采集设备 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6EC4C07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高精度动态信号采集模块（</w:t>
            </w:r>
            <w:r>
              <w:rPr>
                <w:rFonts w:ascii="宋体" w:hAnsi="宋体" w:cs="宋体"/>
                <w:b/>
                <w:bCs/>
                <w:szCs w:val="21"/>
              </w:rPr>
              <w:t>19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个）</w:t>
            </w:r>
          </w:p>
          <w:p w14:paraId="00A760A3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通道与量程：≧4个模拟量输入通道，具备通道间同步采样能力，通道输入电压满量程范围±5 V；</w:t>
            </w:r>
          </w:p>
          <w:p w14:paraId="6E108AA0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/>
                <w:bCs/>
                <w:szCs w:val="21"/>
              </w:rPr>
              <w:t>ADC</w:t>
            </w:r>
            <w:r>
              <w:rPr>
                <w:rFonts w:hint="eastAsia" w:ascii="宋体" w:hAnsi="宋体" w:cs="宋体"/>
                <w:bCs/>
                <w:szCs w:val="21"/>
              </w:rPr>
              <w:t>分辨率：模数转换器(ADC)分辨率≧24 位；</w:t>
            </w:r>
          </w:p>
          <w:p w14:paraId="4ECFFE4F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动态范围：无杂散动态范围（SFDR）≧1</w:t>
            </w:r>
            <w:r>
              <w:rPr>
                <w:rFonts w:ascii="宋体" w:hAnsi="宋体" w:cs="宋体"/>
                <w:bCs/>
                <w:szCs w:val="21"/>
              </w:rPr>
              <w:t>20</w:t>
            </w:r>
            <w:r>
              <w:rPr>
                <w:rFonts w:hint="eastAsia" w:ascii="宋体" w:hAnsi="宋体" w:cs="宋体"/>
                <w:bCs/>
                <w:szCs w:val="21"/>
              </w:rPr>
              <w:t>d</w:t>
            </w:r>
            <w:r>
              <w:rPr>
                <w:rFonts w:ascii="宋体" w:hAnsi="宋体" w:cs="宋体"/>
                <w:bCs/>
                <w:szCs w:val="21"/>
              </w:rPr>
              <w:t>B</w:t>
            </w:r>
            <w:r>
              <w:rPr>
                <w:rFonts w:hint="eastAsia" w:ascii="宋体" w:hAnsi="宋体" w:cs="宋体"/>
                <w:bCs/>
                <w:szCs w:val="21"/>
              </w:rPr>
              <w:t>；</w:t>
            </w:r>
          </w:p>
          <w:p w14:paraId="41B80A55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IEPE/ICP 恒流激励：提供专用于 IEPE/ICP 型传感器的恒流激励源，各通道可通过软件独立控制开启或关闭，激励电流不小于 2.0 mA；</w:t>
            </w:r>
          </w:p>
          <w:p w14:paraId="032E2087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信号调理：支持通过软件为各通道独立选择 AC（交流）或 DC（直流）耦合；</w:t>
            </w:r>
          </w:p>
          <w:p w14:paraId="46AD0B22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环境适应与过压保护：工作温度范围满足 -</w:t>
            </w:r>
            <w:r>
              <w:rPr>
                <w:rFonts w:ascii="宋体" w:hAnsi="宋体" w:cs="宋体"/>
                <w:bCs/>
                <w:szCs w:val="21"/>
              </w:rPr>
              <w:t>2</w:t>
            </w:r>
            <w:r>
              <w:rPr>
                <w:rFonts w:hint="eastAsia" w:ascii="宋体" w:hAnsi="宋体" w:cs="宋体"/>
                <w:bCs/>
                <w:szCs w:val="21"/>
              </w:rPr>
              <w:t xml:space="preserve">0°C 至 </w:t>
            </w:r>
            <w:r>
              <w:rPr>
                <w:rFonts w:ascii="宋体" w:hAnsi="宋体" w:cs="宋体"/>
                <w:bCs/>
                <w:szCs w:val="21"/>
              </w:rPr>
              <w:t>65</w:t>
            </w:r>
            <w:r>
              <w:rPr>
                <w:rFonts w:hint="eastAsia" w:ascii="宋体" w:hAnsi="宋体" w:cs="宋体"/>
                <w:bCs/>
                <w:szCs w:val="21"/>
              </w:rPr>
              <w:t>°C，物理防护等级不低于 IP40，输入通道必须能承受至少 ±30 V 的过电压冲击而不损坏硬件；</w:t>
            </w:r>
          </w:p>
          <w:p w14:paraId="28777589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系统集成：模块在物理封装尺寸、电气引脚分布及背板通信协议上，必须与本项目采购的“信号采集机箱”实现完全原生兼容，且支持直接插拔使用；</w:t>
            </w:r>
          </w:p>
          <w:p w14:paraId="48CBCD7C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高精度计数器测量模块（1个）</w:t>
            </w:r>
          </w:p>
          <w:p w14:paraId="1604AB47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通道数量：≧ 8 个独立的高速计数器输入通道，内部计数器测量分辨率不低于 32 位</w:t>
            </w:r>
          </w:p>
          <w:p w14:paraId="19988A90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测速与高频缓冲采样：支持进行连续数据流波形采样，最大采样率不低于 10</w:t>
            </w:r>
            <w:r>
              <w:rPr>
                <w:rFonts w:ascii="宋体" w:hAnsi="宋体" w:cs="宋体"/>
                <w:bCs/>
                <w:szCs w:val="21"/>
              </w:rPr>
              <w:t>0</w:t>
            </w:r>
            <w:r>
              <w:rPr>
                <w:rFonts w:hint="eastAsia" w:ascii="宋体" w:hAnsi="宋体" w:cs="宋体"/>
                <w:bCs/>
                <w:szCs w:val="21"/>
              </w:rPr>
              <w:t xml:space="preserve"> kHz；</w:t>
            </w:r>
          </w:p>
          <w:p w14:paraId="4B794A43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系统集成：模块在物理封装尺寸、电气引脚分布及背板通信协议上，必须与本项目采购的“信号采集机箱”实现完全原生兼容，且支持直接插拔使用；</w:t>
            </w:r>
          </w:p>
          <w:p w14:paraId="4485F878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高速数字信号采集模块（1个）</w:t>
            </w:r>
          </w:p>
          <w:p w14:paraId="7C859252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通道与量程：≧6 个独立高速数字输入通道，单通道电压输入量程兼容 ±5V至24V；</w:t>
            </w:r>
          </w:p>
          <w:p w14:paraId="6A01ED8B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采集速率：输入端更新时间≤ 500 ns；</w:t>
            </w:r>
          </w:p>
          <w:p w14:paraId="5CC31F8E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系统集成：必须与本项目配套采购的“信号采集机箱”实现完全原生兼容及直接插拔；</w:t>
            </w:r>
          </w:p>
          <w:p w14:paraId="3E827E41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分布式数据采集机箱（</w:t>
            </w:r>
            <w:r>
              <w:rPr>
                <w:rFonts w:ascii="宋体" w:hAnsi="宋体" w:cs="宋体"/>
                <w:b/>
                <w:bCs/>
                <w:szCs w:val="21"/>
              </w:rPr>
              <w:t>3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个）</w:t>
            </w:r>
          </w:p>
          <w:p w14:paraId="72258885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 xml:space="preserve">物理架构与网络拓扑：机箱需提供至少 8 个用于安装高精度数据采集模块的插槽，集成至少 2 个千兆以太网端口，支持系统进行多机箱扩展使用； </w:t>
            </w:r>
          </w:p>
          <w:p w14:paraId="24F35B04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时间同步：原生支持 IEEE 802.1AS 网络时间同步协议，多机箱同步采样时间精度优于 1μs；</w:t>
            </w:r>
          </w:p>
          <w:p w14:paraId="414CCA9E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环境适应性：在 10 Hz 至 500 Hz 频率范围内，承受不低于 5 g RMS 的持续随机振动而不影响数据正常采集，工作温度范围满足 -20°C 至 65°C；</w:t>
            </w:r>
          </w:p>
          <w:p w14:paraId="7390C434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软件兼容性与正版授权：支持采用LabVIEW图形化设计软件进行二次开发，采集机箱能被 LabVIEW 驱动程序（API）直接识别和调用；</w:t>
            </w:r>
          </w:p>
          <w:p w14:paraId="5B0BBC9A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Demo软件开发：根据振动监测需求，在采集机箱交付时以U盘形式交付一套可运行的LabVIEW Demo 程序并提供完整、无加密的工程源码，Demo程序需完成以下测试功能模块的开发：</w:t>
            </w:r>
          </w:p>
          <w:p w14:paraId="4677AE9C">
            <w:pPr>
              <w:pStyle w:val="11"/>
              <w:numPr>
                <w:ilvl w:val="2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多通道信号采集、配置及同屏对比显示功能；</w:t>
            </w:r>
          </w:p>
          <w:p w14:paraId="0930C3B9">
            <w:pPr>
              <w:pStyle w:val="11"/>
              <w:numPr>
                <w:ilvl w:val="2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信号实时功率谱密度（PSD）以及1/3倍频程VC等级分析及显示；</w:t>
            </w:r>
          </w:p>
          <w:p w14:paraId="2FE7422D">
            <w:pPr>
              <w:pStyle w:val="11"/>
              <w:numPr>
                <w:ilvl w:val="2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历史数据查询、导出及每日报表生成；</w:t>
            </w:r>
          </w:p>
          <w:p w14:paraId="2D534668">
            <w:pPr>
              <w:pStyle w:val="11"/>
              <w:numPr>
                <w:ilvl w:val="2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测点状态监测及报警功能；</w:t>
            </w:r>
          </w:p>
          <w:p w14:paraId="3B50DAEC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便携式振动信号采集仪（1台）</w:t>
            </w:r>
          </w:p>
          <w:p w14:paraId="77C66909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通道数量：提供≧ 8个电压/IEPE输入通道，支持标准BNC接口；</w:t>
            </w:r>
          </w:p>
          <w:p w14:paraId="59657F55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精度与动态范围：模数转换器分辨率≥24 位，设备无杂散动态范围（SFDR）需达到或优于1</w:t>
            </w:r>
            <w:r>
              <w:rPr>
                <w:rFonts w:ascii="宋体" w:hAnsi="宋体" w:cs="宋体"/>
                <w:bCs/>
                <w:szCs w:val="21"/>
              </w:rPr>
              <w:t>2</w:t>
            </w:r>
            <w:r>
              <w:rPr>
                <w:rFonts w:hint="eastAsia" w:ascii="宋体" w:hAnsi="宋体" w:cs="宋体"/>
                <w:bCs/>
                <w:szCs w:val="21"/>
              </w:rPr>
              <w:t>0 dB；</w:t>
            </w:r>
          </w:p>
          <w:p w14:paraId="12762BF8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供电与续航： 需支持外部直流供电及内置锂电池供电，内部电池供电续航≥</w:t>
            </w:r>
            <w:r>
              <w:rPr>
                <w:rFonts w:ascii="宋体" w:hAnsi="宋体" w:cs="宋体"/>
                <w:bCs/>
                <w:szCs w:val="21"/>
              </w:rPr>
              <w:t>6</w:t>
            </w:r>
            <w:r>
              <w:rPr>
                <w:rFonts w:hint="eastAsia" w:ascii="宋体" w:hAnsi="宋体" w:cs="宋体"/>
                <w:bCs/>
                <w:szCs w:val="21"/>
              </w:rPr>
              <w:t>小时；</w:t>
            </w:r>
          </w:p>
          <w:p w14:paraId="5701D84C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采集软件：配备专用的信号采集与分析软件，具备参数设置、波形采集记录及实时的频域信号在线分析等功能；</w:t>
            </w:r>
          </w:p>
          <w:p w14:paraId="2469773E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尺寸及重量：采集仪主机长宽高尺寸需 ≤ 250 mm × 150 mm × 50 mm，含电池总重量 ≤ 2.0 Kg，以满足现场巡检需求；</w:t>
            </w:r>
          </w:p>
          <w:p w14:paraId="155A730B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调试笔记本（1台）</w:t>
            </w:r>
          </w:p>
          <w:p w14:paraId="6026BCAA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处理器CPU：物理核心数不少于 8 核，逻辑线程数不少于 16 线程，最高加速时钟频率不低于 5.2 GHz</w:t>
            </w:r>
          </w:p>
          <w:p w14:paraId="4920BE64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显卡GPU: 独立显存容量不低于 8GB, GDDR6 或更优规格</w:t>
            </w:r>
          </w:p>
          <w:p w14:paraId="0834ED1B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内存：不低于DDR5 5600MHz 32GB</w:t>
            </w:r>
          </w:p>
          <w:p w14:paraId="1ADDF4DB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存储：NVMe PCIe 协议固态硬盘不低于 1TB</w:t>
            </w:r>
          </w:p>
          <w:p w14:paraId="19E153AA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上位机（2台）</w:t>
            </w:r>
          </w:p>
          <w:p w14:paraId="1FA6D5EA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处理器CPU：物理核心数不少于</w:t>
            </w:r>
            <w:r>
              <w:rPr>
                <w:rFonts w:ascii="宋体" w:hAnsi="宋体" w:cs="宋体"/>
                <w:bCs/>
                <w:szCs w:val="21"/>
              </w:rPr>
              <w:t>24</w:t>
            </w:r>
            <w:r>
              <w:rPr>
                <w:rFonts w:hint="eastAsia" w:ascii="宋体" w:hAnsi="宋体" w:cs="宋体"/>
                <w:bCs/>
                <w:szCs w:val="21"/>
              </w:rPr>
              <w:t>核，基础频率不低于 3.2 GHz</w:t>
            </w:r>
          </w:p>
          <w:p w14:paraId="5E6943FA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 xml:space="preserve">显卡GPU: 独立显存容量不低于 </w:t>
            </w:r>
            <w:r>
              <w:rPr>
                <w:rFonts w:ascii="宋体" w:hAnsi="宋体" w:cs="宋体"/>
                <w:bCs/>
                <w:szCs w:val="21"/>
              </w:rPr>
              <w:t>16</w:t>
            </w:r>
            <w:r>
              <w:rPr>
                <w:rFonts w:hint="eastAsia" w:ascii="宋体" w:hAnsi="宋体" w:cs="宋体"/>
                <w:bCs/>
                <w:szCs w:val="21"/>
              </w:rPr>
              <w:t>GB, GDDR6</w:t>
            </w:r>
          </w:p>
          <w:p w14:paraId="0761C316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 xml:space="preserve">内存：不低于DDR5 5600MHz </w:t>
            </w:r>
            <w:r>
              <w:rPr>
                <w:rFonts w:ascii="宋体" w:hAnsi="宋体" w:cs="宋体"/>
                <w:bCs/>
                <w:szCs w:val="21"/>
              </w:rPr>
              <w:t>64</w:t>
            </w:r>
            <w:r>
              <w:rPr>
                <w:rFonts w:hint="eastAsia" w:ascii="宋体" w:hAnsi="宋体" w:cs="宋体"/>
                <w:bCs/>
                <w:szCs w:val="21"/>
              </w:rPr>
              <w:t>GB</w:t>
            </w:r>
          </w:p>
          <w:p w14:paraId="61CC8404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存储阵列：不少于 1 块 512GB 的 M.2 PCIe Gen4 NVMe 协议专业级固态硬盘，同时配置不少于1块8TB容量的3.5英寸SATA机械硬盘，转速不低于7200RPM，缓存不低于 256MB</w:t>
            </w:r>
          </w:p>
          <w:p w14:paraId="34346E6A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直流电源（4个）</w:t>
            </w:r>
          </w:p>
          <w:p w14:paraId="0CE0D264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输出电压范围：</w:t>
            </w:r>
            <w:r>
              <w:rPr>
                <w:rFonts w:ascii="宋体" w:hAnsi="宋体" w:cs="宋体"/>
                <w:bCs/>
                <w:szCs w:val="21"/>
              </w:rPr>
              <w:t>0-30</w:t>
            </w:r>
            <w:r>
              <w:rPr>
                <w:rFonts w:hint="eastAsia" w:ascii="宋体" w:hAnsi="宋体" w:cs="宋体"/>
                <w:bCs/>
                <w:szCs w:val="21"/>
              </w:rPr>
              <w:t>V连续可调</w:t>
            </w:r>
          </w:p>
          <w:p w14:paraId="4756648D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输出电流范围：0</w:t>
            </w:r>
            <w:r>
              <w:rPr>
                <w:rFonts w:ascii="宋体" w:hAnsi="宋体" w:cs="宋体"/>
                <w:bCs/>
                <w:szCs w:val="21"/>
              </w:rPr>
              <w:t>-10</w:t>
            </w:r>
            <w:r>
              <w:rPr>
                <w:rFonts w:hint="eastAsia" w:ascii="宋体" w:hAnsi="宋体" w:cs="宋体"/>
                <w:bCs/>
                <w:szCs w:val="21"/>
              </w:rPr>
              <w:t>A连续可调</w:t>
            </w:r>
          </w:p>
          <w:p w14:paraId="30842646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设定值精度：电压0.1%，电流0.1%</w:t>
            </w:r>
          </w:p>
          <w:p w14:paraId="35BF01D8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尺寸及重量：长宽高尺寸</w:t>
            </w:r>
            <w:r>
              <w:rPr>
                <w:rFonts w:ascii="宋体" w:hAnsi="宋体" w:cs="宋体"/>
                <w:bCs/>
                <w:szCs w:val="21"/>
              </w:rPr>
              <w:t>200mm×100mm×150 mm</w:t>
            </w:r>
            <w:r>
              <w:rPr>
                <w:rFonts w:hint="eastAsia" w:ascii="宋体" w:hAnsi="宋体" w:cs="宋体"/>
                <w:bCs/>
                <w:szCs w:val="21"/>
              </w:rPr>
              <w:t>，重量≤ 2.0 Kg</w:t>
            </w:r>
          </w:p>
          <w:p w14:paraId="42C08143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传感器安装模块（3</w:t>
            </w:r>
            <w:r>
              <w:rPr>
                <w:rFonts w:ascii="宋体" w:hAnsi="宋体" w:cs="宋体"/>
                <w:b/>
                <w:bCs/>
                <w:szCs w:val="21"/>
              </w:rPr>
              <w:t>3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个）</w:t>
            </w:r>
          </w:p>
          <w:p w14:paraId="5B47FD64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不锈钢或航空铝合金材质，预留标准安装螺纹孔</w:t>
            </w:r>
            <w:r>
              <w:rPr>
                <w:rFonts w:ascii="宋体" w:hAnsi="宋体" w:cs="宋体"/>
                <w:bCs/>
                <w:szCs w:val="21"/>
              </w:rPr>
              <w:t>,</w:t>
            </w:r>
            <w:r>
              <w:rPr>
                <w:rFonts w:hint="eastAsia" w:ascii="宋体" w:hAnsi="宋体" w:cs="宋体"/>
                <w:bCs/>
                <w:szCs w:val="21"/>
              </w:rPr>
              <w:t>适配磁电式速度传感器、压电式加速度计以及 1/2 英寸标准自由场传声器的机械连接接口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合同签订后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个月内。</w:t>
            </w:r>
          </w:p>
          <w:p w14:paraId="4F766029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合同签订后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个月内一次性交付。</w:t>
            </w:r>
          </w:p>
          <w:p w14:paraId="1263B4E5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合同签订后2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个工作日内甲方预付3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%合同款。到货验收合格后，由乙方开具发票，甲方在3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个工作日内支付剩余7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%货款。</w:t>
            </w:r>
          </w:p>
          <w:p w14:paraId="50609E60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</w:p>
          <w:p w14:paraId="19ABDFDF">
            <w:pPr>
              <w:pStyle w:val="11"/>
              <w:numPr>
                <w:ilvl w:val="0"/>
                <w:numId w:val="2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精度动态信号采集模块、高精度计数器测量模块、高速数字信号采集模块、分布式数据采集机箱、便携式振动信号采集仪、计算机（上位机及调试笔记本）、直流电源及传感器安装模块等所有硬件组件，须在到货后进行现场开箱验收，由采供双方共同清点确认设备型号、数量及外观完好性，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所有产品</w:t>
            </w:r>
            <w:r>
              <w:rPr>
                <w:rFonts w:hint="eastAsia" w:ascii="宋体" w:hAnsi="宋体"/>
                <w:szCs w:val="21"/>
              </w:rPr>
              <w:t>提供产品合格证；</w:t>
            </w:r>
          </w:p>
          <w:p w14:paraId="0929A91E">
            <w:pPr>
              <w:pStyle w:val="11"/>
              <w:numPr>
                <w:ilvl w:val="0"/>
                <w:numId w:val="2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对于通道量程、ADC分辨率、最大采样率、动态范围（SFDR）、时间同步精度等核心硬件性能指标，供应商须提供设备原厂出具的出厂检测报告作为验收依据；</w:t>
            </w:r>
          </w:p>
          <w:p w14:paraId="48151AE4">
            <w:pPr>
              <w:pStyle w:val="11"/>
              <w:numPr>
                <w:ilvl w:val="0"/>
                <w:numId w:val="2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现场运行并验证系统Demo软件，确认其满足多通道同步采集、PSD频谱分析、状态报警及报表生成等各项功能要求，并现场以U盘形式交付完整、无加密的工程源代码后，完成最终验收。</w:t>
            </w:r>
          </w:p>
          <w:p w14:paraId="00378417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档案要求：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提供出厂检定报告、产品合格证。</w:t>
            </w:r>
          </w:p>
          <w:p w14:paraId="1A1BB2E9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厂家对所提供设备的免费保修期为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年，同时提供终身服务。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  <w:bookmarkStart w:id="0" w:name="_GoBack"/>
      <w:bookmarkEnd w:id="0"/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5D33F3"/>
    <w:multiLevelType w:val="multilevel"/>
    <w:tmpl w:val="035D33F3"/>
    <w:lvl w:ilvl="0" w:tentative="0">
      <w:start w:val="1"/>
      <w:numFmt w:val="decimal"/>
      <w:lvlText w:val="%1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bullet"/>
      <w:lvlText w:val=""/>
      <w:lvlJc w:val="left"/>
      <w:pPr>
        <w:ind w:left="1418" w:hanging="567"/>
      </w:pPr>
      <w:rPr>
        <w:rFonts w:hint="default" w:ascii="Wingdings" w:hAnsi="Wingdings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4F8A20D9"/>
    <w:multiLevelType w:val="multilevel"/>
    <w:tmpl w:val="4F8A20D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3C307C28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434</Words>
  <Characters>486</Characters>
  <Lines>4</Lines>
  <Paragraphs>1</Paragraphs>
  <TotalTime>0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2026-05-28T07:35:48Z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