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F42D7">
      <w:pPr>
        <w:jc w:val="center"/>
        <w:rPr>
          <w:sz w:val="32"/>
          <w:szCs w:val="32"/>
        </w:rPr>
      </w:pPr>
      <w:r>
        <w:rPr>
          <w:sz w:val="32"/>
          <w:szCs w:val="32"/>
        </w:rPr>
        <w:t>中国科学技术大学国家同步辐射实验室</w:t>
      </w:r>
    </w:p>
    <w:p w14:paraId="71ADF21F">
      <w:pPr>
        <w:jc w:val="center"/>
        <w:rPr>
          <w:sz w:val="32"/>
          <w:szCs w:val="32"/>
        </w:rPr>
      </w:pPr>
      <w:bookmarkStart w:id="0" w:name="_GoBack"/>
      <w:r>
        <w:rPr>
          <w:rFonts w:hint="eastAsia"/>
          <w:sz w:val="32"/>
          <w:szCs w:val="32"/>
        </w:rPr>
        <w:t>技术指标供应商确认表</w:t>
      </w:r>
    </w:p>
    <w:bookmarkEnd w:id="0"/>
    <w:p w14:paraId="50584A57">
      <w:pPr>
        <w:rPr>
          <w:sz w:val="24"/>
          <w:szCs w:val="24"/>
        </w:rPr>
      </w:pPr>
    </w:p>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61"/>
        <w:gridCol w:w="5322"/>
        <w:gridCol w:w="1201"/>
        <w:gridCol w:w="992"/>
      </w:tblGrid>
      <w:tr w14:paraId="20C6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3E29496F">
            <w:pPr>
              <w:spacing w:line="240" w:lineRule="atLeast"/>
              <w:jc w:val="center"/>
              <w:rPr>
                <w:sz w:val="24"/>
                <w:szCs w:val="24"/>
              </w:rPr>
            </w:pPr>
            <w:r>
              <w:rPr>
                <w:rFonts w:hint="eastAsia"/>
                <w:sz w:val="24"/>
                <w:szCs w:val="24"/>
              </w:rPr>
              <w:t>序号</w:t>
            </w:r>
          </w:p>
        </w:tc>
        <w:tc>
          <w:tcPr>
            <w:tcW w:w="1561" w:type="dxa"/>
            <w:vAlign w:val="center"/>
          </w:tcPr>
          <w:p w14:paraId="467D4662">
            <w:pPr>
              <w:spacing w:line="240" w:lineRule="atLeast"/>
              <w:jc w:val="center"/>
              <w:rPr>
                <w:sz w:val="24"/>
                <w:szCs w:val="24"/>
              </w:rPr>
            </w:pPr>
            <w:r>
              <w:rPr>
                <w:rFonts w:hint="eastAsia"/>
                <w:sz w:val="24"/>
                <w:szCs w:val="24"/>
              </w:rPr>
              <w:t>名称</w:t>
            </w:r>
          </w:p>
        </w:tc>
        <w:tc>
          <w:tcPr>
            <w:tcW w:w="5322" w:type="dxa"/>
            <w:vAlign w:val="center"/>
          </w:tcPr>
          <w:p w14:paraId="0B99A1E1">
            <w:pPr>
              <w:spacing w:line="240" w:lineRule="atLeast"/>
              <w:jc w:val="center"/>
              <w:rPr>
                <w:sz w:val="24"/>
                <w:szCs w:val="24"/>
              </w:rPr>
            </w:pPr>
            <w:r>
              <w:rPr>
                <w:rFonts w:hint="eastAsia"/>
                <w:sz w:val="24"/>
                <w:szCs w:val="24"/>
              </w:rPr>
              <w:t>技术指标</w:t>
            </w:r>
          </w:p>
        </w:tc>
        <w:tc>
          <w:tcPr>
            <w:tcW w:w="1201" w:type="dxa"/>
            <w:vAlign w:val="center"/>
          </w:tcPr>
          <w:p w14:paraId="78A93726">
            <w:pPr>
              <w:spacing w:line="240" w:lineRule="atLeast"/>
              <w:jc w:val="center"/>
              <w:rPr>
                <w:sz w:val="24"/>
                <w:szCs w:val="24"/>
              </w:rPr>
            </w:pPr>
            <w:r>
              <w:rPr>
                <w:rFonts w:hint="eastAsia"/>
                <w:sz w:val="24"/>
                <w:szCs w:val="24"/>
              </w:rPr>
              <w:t>偏离说明</w:t>
            </w:r>
          </w:p>
          <w:p w14:paraId="529022B5">
            <w:pPr>
              <w:spacing w:line="240" w:lineRule="atLeast"/>
              <w:jc w:val="center"/>
              <w:rPr>
                <w:sz w:val="24"/>
                <w:szCs w:val="24"/>
              </w:rPr>
            </w:pPr>
            <w:r>
              <w:rPr>
                <w:rFonts w:hint="eastAsia"/>
                <w:sz w:val="24"/>
                <w:szCs w:val="24"/>
              </w:rPr>
              <w:t>(</w:t>
            </w:r>
            <w:r>
              <w:rPr>
                <w:sz w:val="24"/>
                <w:szCs w:val="24"/>
              </w:rPr>
              <w:t>无偏离</w:t>
            </w:r>
            <w:r>
              <w:rPr>
                <w:rFonts w:hint="eastAsia"/>
                <w:sz w:val="24"/>
                <w:szCs w:val="24"/>
              </w:rPr>
              <w:t>/</w:t>
            </w:r>
            <w:r>
              <w:rPr>
                <w:sz w:val="24"/>
                <w:szCs w:val="24"/>
              </w:rPr>
              <w:t>正偏离</w:t>
            </w:r>
            <w:r>
              <w:rPr>
                <w:rFonts w:hint="eastAsia"/>
                <w:sz w:val="24"/>
                <w:szCs w:val="24"/>
              </w:rPr>
              <w:t>/</w:t>
            </w:r>
            <w:r>
              <w:rPr>
                <w:sz w:val="24"/>
                <w:szCs w:val="24"/>
              </w:rPr>
              <w:t>负偏离</w:t>
            </w:r>
            <w:r>
              <w:rPr>
                <w:rFonts w:hint="eastAsia"/>
                <w:sz w:val="24"/>
                <w:szCs w:val="24"/>
              </w:rPr>
              <w:t>)</w:t>
            </w:r>
          </w:p>
        </w:tc>
        <w:tc>
          <w:tcPr>
            <w:tcW w:w="992" w:type="dxa"/>
            <w:vAlign w:val="center"/>
          </w:tcPr>
          <w:p w14:paraId="744AE6C5">
            <w:pPr>
              <w:spacing w:line="240" w:lineRule="atLeast"/>
              <w:jc w:val="center"/>
              <w:rPr>
                <w:sz w:val="24"/>
                <w:szCs w:val="24"/>
              </w:rPr>
            </w:pPr>
            <w:r>
              <w:rPr>
                <w:rFonts w:hint="eastAsia"/>
                <w:sz w:val="24"/>
                <w:szCs w:val="24"/>
              </w:rPr>
              <w:t>偏离值</w:t>
            </w:r>
          </w:p>
        </w:tc>
      </w:tr>
      <w:tr w14:paraId="6C24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705" w:type="dxa"/>
            <w:vAlign w:val="center"/>
          </w:tcPr>
          <w:p w14:paraId="6B5478EA">
            <w:pPr>
              <w:spacing w:line="240" w:lineRule="atLeast"/>
              <w:jc w:val="center"/>
              <w:rPr>
                <w:sz w:val="24"/>
                <w:szCs w:val="24"/>
              </w:rPr>
            </w:pPr>
            <w:r>
              <w:rPr>
                <w:rFonts w:hint="eastAsia"/>
                <w:sz w:val="24"/>
                <w:szCs w:val="24"/>
              </w:rPr>
              <w:t>1</w:t>
            </w:r>
          </w:p>
        </w:tc>
        <w:tc>
          <w:tcPr>
            <w:tcW w:w="1561" w:type="dxa"/>
            <w:tcBorders>
              <w:top w:val="single" w:color="auto" w:sz="4" w:space="0"/>
              <w:left w:val="single" w:color="auto" w:sz="4" w:space="0"/>
              <w:right w:val="single" w:color="auto" w:sz="4" w:space="0"/>
            </w:tcBorders>
            <w:shd w:val="clear" w:color="auto" w:fill="auto"/>
            <w:vAlign w:val="center"/>
          </w:tcPr>
          <w:p w14:paraId="72D7432B">
            <w:pPr>
              <w:keepNext w:val="0"/>
              <w:keepLines w:val="0"/>
              <w:pageBreakBefore w:val="0"/>
              <w:widowControl w:val="0"/>
              <w:tabs>
                <w:tab w:val="left" w:pos="6915"/>
              </w:tabs>
              <w:kinsoku/>
              <w:topLinePunct w:val="0"/>
              <w:autoSpaceDE/>
              <w:autoSpaceDN/>
              <w:bidi w:val="0"/>
              <w:adjustRightInd w:val="0"/>
              <w:snapToGrid w:val="0"/>
              <w:spacing w:line="240" w:lineRule="auto"/>
              <w:jc w:val="left"/>
              <w:textAlignment w:val="auto"/>
              <w:rPr>
                <w:rFonts w:hint="default" w:eastAsiaTheme="minorEastAsia"/>
                <w:sz w:val="24"/>
                <w:szCs w:val="24"/>
                <w:lang w:val="en-US" w:eastAsia="zh-CN"/>
              </w:rPr>
            </w:pPr>
            <w:r>
              <w:rPr>
                <w:rFonts w:hint="eastAsia"/>
                <w:kern w:val="0"/>
                <w:sz w:val="21"/>
                <w:szCs w:val="21"/>
              </w:rPr>
              <w:t>高性能计算机服务器</w:t>
            </w:r>
            <w:r>
              <w:rPr>
                <w:rFonts w:hint="eastAsia" w:asciiTheme="minorEastAsia" w:hAnsiTheme="minorEastAsia" w:eastAsiaTheme="minorEastAsia"/>
                <w:bCs/>
                <w:sz w:val="24"/>
                <w:szCs w:val="24"/>
              </w:rPr>
              <w:br w:type="textWrapping"/>
            </w:r>
          </w:p>
        </w:tc>
        <w:tc>
          <w:tcPr>
            <w:tcW w:w="5322" w:type="dxa"/>
            <w:vAlign w:val="center"/>
          </w:tcPr>
          <w:p w14:paraId="62CE131D">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1. CPU资源：总物理核心数不少于120核，基准频率不低于2.6 GHz；处理器型号须为2024年以后正式发布的产品；支持AVX-512及AVX-512 VNNI指令集，以满足高性能计算和深度学习推理需求。</w:t>
            </w:r>
          </w:p>
          <w:p w14:paraId="51F2DF3D">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2. 内存资源：内存总容量不少于280 GB，采用DDR5内存，速率不低于5600 MT/s；所配置内存条须为全新原厂产品，生产日期不得早于2024年1月1日。</w:t>
            </w:r>
          </w:p>
          <w:p w14:paraId="1ADDAAF9">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3. 存储资源：规划存储总容量不少于21 TB。供应商须在报价文件中列明存储介质类型、单盘容量、数量及RAID配置方案。</w:t>
            </w:r>
          </w:p>
          <w:p w14:paraId="7A277A96">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4. 管理功能：系统须集成BMC管理芯片及配套管理系统，支持固件更新、日志收集、设备信息查看、远程控制和远程修改BIOS；支持通过IPMI进行带外管理，并以图形或报表方式监控服务器各部件运行状态；支持硬盘RAID配置及网卡管理。</w:t>
            </w:r>
          </w:p>
          <w:p w14:paraId="5EC6F30C">
            <w:pPr>
              <w:spacing w:line="240" w:lineRule="auto"/>
              <w:rPr>
                <w:rFonts w:hint="eastAsia" w:ascii="宋体" w:hAnsi="宋体" w:cs="宋体"/>
                <w:bCs/>
                <w:color w:val="222222"/>
                <w:sz w:val="21"/>
                <w:szCs w:val="21"/>
                <w:highlight w:val="none"/>
                <w:shd w:val="clear" w:color="auto" w:fill="FFFFFF"/>
              </w:rPr>
            </w:pPr>
            <w:r>
              <w:rPr>
                <w:rFonts w:hint="eastAsia" w:ascii="宋体" w:hAnsi="宋体" w:cs="宋体"/>
                <w:bCs/>
                <w:sz w:val="21"/>
                <w:szCs w:val="21"/>
              </w:rPr>
              <w:t>5. 资源调度平台：集成部署一套成熟、稳定的集群资源调度软件，并提供有效的</w:t>
            </w:r>
            <w:r>
              <w:rPr>
                <w:rFonts w:hint="eastAsia" w:ascii="宋体" w:hAnsi="宋体" w:cs="宋体"/>
                <w:bCs/>
                <w:sz w:val="21"/>
                <w:szCs w:val="21"/>
                <w:highlight w:val="none"/>
              </w:rPr>
              <w:t>软件著作权登记证书。</w:t>
            </w:r>
          </w:p>
          <w:p w14:paraId="769FB223">
            <w:pPr>
              <w:spacing w:line="240" w:lineRule="auto"/>
              <w:rPr>
                <w:rFonts w:hint="eastAsia" w:ascii="宋体" w:hAnsi="宋体" w:cs="宋体"/>
                <w:bCs/>
                <w:color w:val="222222"/>
                <w:sz w:val="21"/>
                <w:szCs w:val="21"/>
                <w:highlight w:val="none"/>
                <w:shd w:val="clear" w:color="auto" w:fill="FFFFFF"/>
              </w:rPr>
            </w:pPr>
            <w:r>
              <w:rPr>
                <w:rFonts w:hint="eastAsia" w:ascii="宋体" w:hAnsi="宋体" w:cs="宋体"/>
                <w:bCs/>
                <w:sz w:val="21"/>
                <w:szCs w:val="21"/>
                <w:highlight w:val="none"/>
              </w:rPr>
              <w:t>（5.1）作业调度：具备资源监控和作业调度功能，满足本项目服务器管理许可要求；支持先来先服务、优先级抢占、公平共享、节点资源独占等调度策略；支持用户组、机器组管理，可按队列和用户设置资源使用限制；支持自定义资源类型的调度与管理，并同时支持CPU和GPU资源调度。供应商须提供由国家版权主管部门颁发的软件著作权登记证书，并提供软件界面截图或第三方检测机构出具的检测报告等有效证明材料。</w:t>
            </w:r>
          </w:p>
          <w:p w14:paraId="00173412">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（5.2）数据传输权限：管理员可分别启用或关闭用户的数据上传、下载权限。供应商须提供软件界面截图或第三方检测机构出具的检测报告等有效证明材料。</w:t>
            </w:r>
          </w:p>
          <w:p w14:paraId="0DAC80B1">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5.3）作业管理：用户可在线查看作业详情及实时输出信息；管理员可查看平台内全部计算作业，并可对作业执行暂停、终止、置顶、置底等操作；用户可删除本人作业列表中的指定作业，但不得影响管理员对相关作业的查询和监管；平台应显示作业排队序号及其前序待执行作业数量。供应商须提供软件界面截图或第三方检测机构出具的检测报告等有效证明材料。</w:t>
            </w:r>
          </w:p>
          <w:p w14:paraId="1F024A83">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（5.4）报表功能：平台应提供集群可用性、CPU利用率、交换空间（Swap）利用率、作业吞吐量及作业CPU使用量等统计报表。供应商须提供软件界面截图或第三方检测机构出具的检测报告等有效证明材料。</w:t>
            </w:r>
          </w:p>
          <w:p w14:paraId="63A3FE63">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6. 专业软件集成服务：供应商须具备专业软件部署及运维支持能力，负责搭建本项目所需的软件运行环境并安装相关科学数据库，形成覆盖“算法—代码—版图—器件”的运行环境。</w:t>
            </w:r>
          </w:p>
          <w:p w14:paraId="025F48D8">
            <w:pPr>
              <w:spacing w:line="240" w:lineRule="auto"/>
              <w:rPr>
                <w:rFonts w:hint="eastAsia" w:eastAsiaTheme="minorEastAsia"/>
                <w:bCs/>
                <w:sz w:val="24"/>
                <w:szCs w:val="24"/>
                <w:lang w:eastAsia="zh-CN"/>
              </w:rPr>
            </w:pPr>
            <w:r>
              <w:rPr>
                <w:rFonts w:hint="eastAsia" w:ascii="宋体" w:hAnsi="宋体" w:cs="宋体"/>
                <w:bCs/>
                <w:sz w:val="21"/>
                <w:szCs w:val="21"/>
              </w:rPr>
              <w:t>7. 关键部件证明材料：供应商须在报价文件中列明CPU、内存和GPU的品牌、完整型号、数量、序列号及相应年度信息，并提供官方产品资料、原厂供货证明、产品铭牌照片或其他可核验材料</w:t>
            </w:r>
          </w:p>
        </w:tc>
        <w:tc>
          <w:tcPr>
            <w:tcW w:w="1201" w:type="dxa"/>
            <w:vAlign w:val="center"/>
          </w:tcPr>
          <w:p w14:paraId="3494B2B7">
            <w:pPr>
              <w:spacing w:line="240" w:lineRule="atLeast"/>
              <w:jc w:val="center"/>
              <w:rPr>
                <w:sz w:val="24"/>
                <w:szCs w:val="24"/>
              </w:rPr>
            </w:pPr>
          </w:p>
        </w:tc>
        <w:tc>
          <w:tcPr>
            <w:tcW w:w="992" w:type="dxa"/>
            <w:vAlign w:val="center"/>
          </w:tcPr>
          <w:p w14:paraId="4AB5E24F">
            <w:pPr>
              <w:spacing w:line="240" w:lineRule="atLeast"/>
              <w:jc w:val="center"/>
              <w:rPr>
                <w:sz w:val="24"/>
                <w:szCs w:val="24"/>
              </w:rPr>
            </w:pPr>
          </w:p>
        </w:tc>
      </w:tr>
      <w:tr w14:paraId="41B7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6" w:hRule="atLeast"/>
        </w:trPr>
        <w:tc>
          <w:tcPr>
            <w:tcW w:w="705" w:type="dxa"/>
            <w:vAlign w:val="center"/>
          </w:tcPr>
          <w:p w14:paraId="1FB5921D">
            <w:pPr>
              <w:spacing w:line="240" w:lineRule="atLeast"/>
              <w:jc w:val="center"/>
              <w:rPr>
                <w:sz w:val="24"/>
                <w:szCs w:val="24"/>
              </w:rPr>
            </w:pPr>
            <w:r>
              <w:rPr>
                <w:sz w:val="24"/>
                <w:szCs w:val="24"/>
              </w:rPr>
              <w:t>2</w:t>
            </w:r>
          </w:p>
        </w:tc>
        <w:tc>
          <w:tcPr>
            <w:tcW w:w="1561" w:type="dxa"/>
            <w:tcBorders>
              <w:top w:val="single" w:color="auto" w:sz="4" w:space="0"/>
              <w:left w:val="single" w:color="auto" w:sz="4" w:space="0"/>
              <w:bottom w:val="single" w:color="auto" w:sz="4" w:space="0"/>
              <w:right w:val="single" w:color="auto" w:sz="4" w:space="0"/>
            </w:tcBorders>
            <w:shd w:val="clear" w:color="auto" w:fill="auto"/>
            <w:vAlign w:val="center"/>
          </w:tcPr>
          <w:p w14:paraId="6E87ED25">
            <w:pPr>
              <w:widowControl/>
              <w:spacing w:line="240" w:lineRule="atLeast"/>
              <w:jc w:val="center"/>
              <w:rPr>
                <w:sz w:val="24"/>
                <w:szCs w:val="24"/>
              </w:rPr>
            </w:pPr>
            <w:r>
              <w:rPr>
                <w:rFonts w:hint="eastAsia"/>
                <w:sz w:val="24"/>
                <w:szCs w:val="24"/>
              </w:rPr>
              <w:t>商务条款</w:t>
            </w:r>
          </w:p>
        </w:tc>
        <w:tc>
          <w:tcPr>
            <w:tcW w:w="5322" w:type="dxa"/>
            <w:tcBorders>
              <w:top w:val="single" w:color="auto" w:sz="4" w:space="0"/>
              <w:left w:val="nil"/>
              <w:bottom w:val="single" w:color="auto" w:sz="4" w:space="0"/>
              <w:right w:val="single" w:color="auto" w:sz="4" w:space="0"/>
            </w:tcBorders>
            <w:shd w:val="clear" w:color="auto" w:fill="auto"/>
            <w:vAlign w:val="center"/>
          </w:tcPr>
          <w:p w14:paraId="38C2970E">
            <w:pPr>
              <w:spacing w:line="240" w:lineRule="auto"/>
              <w:rPr>
                <w:rFonts w:hint="eastAsia" w:ascii="宋体" w:hAnsi="宋体" w:cs="宋体"/>
                <w:b/>
                <w:sz w:val="21"/>
                <w:szCs w:val="21"/>
              </w:rPr>
            </w:pPr>
            <w:r>
              <w:rPr>
                <w:rFonts w:hint="eastAsia" w:ascii="宋体" w:hAnsi="宋体" w:cs="宋体"/>
                <w:b/>
                <w:sz w:val="21"/>
                <w:szCs w:val="21"/>
              </w:rPr>
              <w:t>交货期：</w:t>
            </w:r>
            <w:r>
              <w:rPr>
                <w:rFonts w:hint="eastAsia" w:ascii="宋体" w:hAnsi="宋体" w:cs="宋体"/>
                <w:bCs/>
                <w:sz w:val="21"/>
                <w:szCs w:val="21"/>
              </w:rPr>
              <w:t>自合同签订之日起15日内完成供货、安装和调试。</w:t>
            </w:r>
          </w:p>
          <w:p w14:paraId="01FCBBDD">
            <w:pPr>
              <w:spacing w:line="240" w:lineRule="auto"/>
              <w:rPr>
                <w:rFonts w:hint="eastAsia" w:ascii="宋体" w:hAnsi="宋体" w:cs="宋体"/>
                <w:bCs/>
                <w:sz w:val="21"/>
                <w:szCs w:val="21"/>
              </w:rPr>
            </w:pPr>
            <w:r>
              <w:rPr>
                <w:rFonts w:hint="eastAsia" w:ascii="宋体" w:hAnsi="宋体" w:cs="宋体"/>
                <w:b/>
                <w:sz w:val="21"/>
                <w:szCs w:val="21"/>
              </w:rPr>
              <w:t>交付方式：</w:t>
            </w:r>
            <w:r>
              <w:rPr>
                <w:rFonts w:hint="eastAsia" w:ascii="宋体" w:hAnsi="宋体" w:cs="宋体"/>
                <w:bCs/>
                <w:sz w:val="21"/>
                <w:szCs w:val="21"/>
              </w:rPr>
              <w:t>一次性交付。</w:t>
            </w:r>
          </w:p>
          <w:p w14:paraId="49930B7E">
            <w:pPr>
              <w:spacing w:line="240" w:lineRule="auto"/>
              <w:rPr>
                <w:rFonts w:hint="eastAsia" w:ascii="宋体" w:hAnsi="宋体" w:cs="宋体"/>
                <w:bCs/>
                <w:sz w:val="21"/>
                <w:szCs w:val="21"/>
              </w:rPr>
            </w:pPr>
            <w:r>
              <w:rPr>
                <w:rFonts w:hint="eastAsia" w:ascii="宋体" w:hAnsi="宋体" w:cs="宋体"/>
                <w:b/>
                <w:sz w:val="21"/>
                <w:szCs w:val="21"/>
              </w:rPr>
              <w:t>付款方式：</w:t>
            </w:r>
            <w:r>
              <w:rPr>
                <w:rFonts w:hint="eastAsia" w:ascii="宋体" w:hAnsi="宋体" w:cs="宋体"/>
                <w:bCs/>
                <w:sz w:val="21"/>
                <w:szCs w:val="21"/>
              </w:rPr>
              <w:t>甲方预付合同总金额的40%；项目验收合格且收到乙方开具的合同全额合法有效发票后，支付剩余60%的合同款。</w:t>
            </w:r>
          </w:p>
          <w:p w14:paraId="1FFD6D4A">
            <w:pPr>
              <w:spacing w:line="240" w:lineRule="auto"/>
              <w:rPr>
                <w:rFonts w:hint="eastAsia" w:ascii="宋体" w:hAnsi="宋体" w:cs="宋体"/>
                <w:color w:val="222222"/>
                <w:sz w:val="21"/>
                <w:szCs w:val="21"/>
                <w:shd w:val="clear" w:color="auto" w:fill="FFFFFF"/>
              </w:rPr>
            </w:pPr>
            <w:r>
              <w:rPr>
                <w:rFonts w:hint="eastAsia" w:ascii="宋体" w:hAnsi="宋体" w:cs="宋体"/>
                <w:b/>
                <w:sz w:val="21"/>
                <w:szCs w:val="21"/>
              </w:rPr>
              <w:t>验收指标及验收要求：</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796"/>
              <w:gridCol w:w="2223"/>
              <w:gridCol w:w="1569"/>
            </w:tblGrid>
            <w:tr w14:paraId="2657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508" w:type="dxa"/>
                  <w:vAlign w:val="center"/>
                </w:tcPr>
                <w:p w14:paraId="5C5A6D50">
                  <w:pPr>
                    <w:spacing w:line="240" w:lineRule="auto"/>
                    <w:jc w:val="center"/>
                    <w:rPr>
                      <w:rFonts w:hint="eastAsia" w:ascii="宋体" w:hAnsi="宋体" w:cs="宋体"/>
                      <w:color w:val="000000" w:themeColor="text1"/>
                      <w:sz w:val="21"/>
                      <w:szCs w:val="21"/>
                      <w:shd w:val="clear" w:color="auto" w:fill="FFFFFF"/>
                      <w14:textFill>
                        <w14:solidFill>
                          <w14:schemeClr w14:val="tx1"/>
                        </w14:solidFill>
                      </w14:textFill>
                    </w:rPr>
                  </w:pPr>
                  <w:r>
                    <w:rPr>
                      <w:rFonts w:ascii="宋体" w:hAnsi="宋体" w:cs="宋体"/>
                      <w:b/>
                      <w:color w:val="000000" w:themeColor="text1"/>
                      <w:sz w:val="21"/>
                      <w:szCs w:val="21"/>
                      <w:shd w:val="clear" w:color="auto" w:fill="FFFFFF"/>
                      <w14:textFill>
                        <w14:solidFill>
                          <w14:schemeClr w14:val="tx1"/>
                        </w14:solidFill>
                      </w14:textFill>
                    </w:rPr>
                    <w:t>序号</w:t>
                  </w:r>
                </w:p>
              </w:tc>
              <w:tc>
                <w:tcPr>
                  <w:tcW w:w="796" w:type="dxa"/>
                  <w:vAlign w:val="center"/>
                </w:tcPr>
                <w:p w14:paraId="63A415C9">
                  <w:pPr>
                    <w:spacing w:line="240" w:lineRule="auto"/>
                    <w:jc w:val="center"/>
                    <w:rPr>
                      <w:rFonts w:hint="eastAsia" w:ascii="宋体" w:hAnsi="宋体" w:cs="宋体"/>
                      <w:color w:val="000000" w:themeColor="text1"/>
                      <w:sz w:val="21"/>
                      <w:szCs w:val="21"/>
                      <w:shd w:val="clear" w:color="auto" w:fill="FFFFFF"/>
                      <w14:textFill>
                        <w14:solidFill>
                          <w14:schemeClr w14:val="tx1"/>
                        </w14:solidFill>
                      </w14:textFill>
                    </w:rPr>
                  </w:pPr>
                  <w:r>
                    <w:rPr>
                      <w:rFonts w:ascii="宋体" w:hAnsi="宋体" w:cs="宋体"/>
                      <w:b/>
                      <w:color w:val="000000" w:themeColor="text1"/>
                      <w:sz w:val="21"/>
                      <w:szCs w:val="21"/>
                      <w:shd w:val="clear" w:color="auto" w:fill="FFFFFF"/>
                      <w14:textFill>
                        <w14:solidFill>
                          <w14:schemeClr w14:val="tx1"/>
                        </w14:solidFill>
                      </w14:textFill>
                    </w:rPr>
                    <w:t>验收项目</w:t>
                  </w:r>
                </w:p>
              </w:tc>
              <w:tc>
                <w:tcPr>
                  <w:tcW w:w="2223" w:type="dxa"/>
                  <w:vAlign w:val="center"/>
                </w:tcPr>
                <w:p w14:paraId="43D39D83">
                  <w:pPr>
                    <w:spacing w:line="240" w:lineRule="auto"/>
                    <w:jc w:val="center"/>
                    <w:rPr>
                      <w:rFonts w:hint="eastAsia" w:ascii="宋体" w:hAnsi="宋体" w:cs="宋体"/>
                      <w:color w:val="000000" w:themeColor="text1"/>
                      <w:sz w:val="21"/>
                      <w:szCs w:val="21"/>
                      <w:shd w:val="clear" w:color="auto" w:fill="FFFFFF"/>
                      <w14:textFill>
                        <w14:solidFill>
                          <w14:schemeClr w14:val="tx1"/>
                        </w14:solidFill>
                      </w14:textFill>
                    </w:rPr>
                  </w:pPr>
                  <w:r>
                    <w:rPr>
                      <w:rFonts w:ascii="宋体" w:hAnsi="宋体" w:cs="宋体"/>
                      <w:b/>
                      <w:color w:val="000000" w:themeColor="text1"/>
                      <w:sz w:val="21"/>
                      <w:szCs w:val="21"/>
                      <w:shd w:val="clear" w:color="auto" w:fill="FFFFFF"/>
                      <w14:textFill>
                        <w14:solidFill>
                          <w14:schemeClr w14:val="tx1"/>
                        </w14:solidFill>
                      </w14:textFill>
                    </w:rPr>
                    <w:t>验收指标及技术要求</w:t>
                  </w:r>
                </w:p>
              </w:tc>
              <w:tc>
                <w:tcPr>
                  <w:tcW w:w="1569" w:type="dxa"/>
                  <w:vAlign w:val="center"/>
                </w:tcPr>
                <w:p w14:paraId="711878CC">
                  <w:pPr>
                    <w:spacing w:line="240" w:lineRule="auto"/>
                    <w:jc w:val="center"/>
                    <w:rPr>
                      <w:rFonts w:hint="eastAsia" w:ascii="宋体" w:hAnsi="宋体" w:cs="宋体"/>
                      <w:color w:val="000000" w:themeColor="text1"/>
                      <w:sz w:val="21"/>
                      <w:szCs w:val="21"/>
                      <w:shd w:val="clear" w:color="auto" w:fill="FFFFFF"/>
                      <w14:textFill>
                        <w14:solidFill>
                          <w14:schemeClr w14:val="tx1"/>
                        </w14:solidFill>
                      </w14:textFill>
                    </w:rPr>
                  </w:pPr>
                  <w:r>
                    <w:rPr>
                      <w:rFonts w:ascii="宋体" w:hAnsi="宋体" w:cs="宋体"/>
                      <w:b/>
                      <w:color w:val="000000" w:themeColor="text1"/>
                      <w:sz w:val="21"/>
                      <w:szCs w:val="21"/>
                      <w:shd w:val="clear" w:color="auto" w:fill="FFFFFF"/>
                      <w14:textFill>
                        <w14:solidFill>
                          <w14:schemeClr w14:val="tx1"/>
                        </w14:solidFill>
                      </w14:textFill>
                    </w:rPr>
                    <w:t>验收方法及证明材料</w:t>
                  </w:r>
                </w:p>
              </w:tc>
            </w:tr>
            <w:tr w14:paraId="64D9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08FAA562">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1</w:t>
                  </w:r>
                </w:p>
              </w:tc>
              <w:tc>
                <w:tcPr>
                  <w:tcW w:w="796" w:type="dxa"/>
                  <w:vAlign w:val="center"/>
                </w:tcPr>
                <w:p w14:paraId="3D0E34E8">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CPU资源</w:t>
                  </w:r>
                </w:p>
              </w:tc>
              <w:tc>
                <w:tcPr>
                  <w:tcW w:w="2223" w:type="dxa"/>
                  <w:vAlign w:val="center"/>
                </w:tcPr>
                <w:p w14:paraId="07707B1E">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CPU物理核心数不低于120个，基准主频不低于2.6 GHz；支持AVX-512及AVX-512 VNNI指令集，能够支持深度学习推理相关计算任务。</w:t>
                  </w:r>
                </w:p>
              </w:tc>
              <w:tc>
                <w:tcPr>
                  <w:tcW w:w="1569" w:type="dxa"/>
                  <w:vAlign w:val="center"/>
                </w:tcPr>
                <w:p w14:paraId="5959813D">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核查CPU型号及厂商技术规格；通过系统命令检查CPU核心数、主频及指令集支持情况。</w:t>
                  </w:r>
                </w:p>
              </w:tc>
            </w:tr>
            <w:tr w14:paraId="4DF8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7B91B4FA">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2</w:t>
                  </w:r>
                </w:p>
              </w:tc>
              <w:tc>
                <w:tcPr>
                  <w:tcW w:w="796" w:type="dxa"/>
                  <w:vAlign w:val="center"/>
                </w:tcPr>
                <w:p w14:paraId="5B7636D1">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内存资源</w:t>
                  </w:r>
                </w:p>
              </w:tc>
              <w:tc>
                <w:tcPr>
                  <w:tcW w:w="2223" w:type="dxa"/>
                  <w:vAlign w:val="center"/>
                </w:tcPr>
                <w:p w14:paraId="5171E5D1">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内存容量不低于280 GB，采用DDR5 5600 MHz内存。</w:t>
                  </w:r>
                </w:p>
              </w:tc>
              <w:tc>
                <w:tcPr>
                  <w:tcW w:w="1569" w:type="dxa"/>
                  <w:vAlign w:val="center"/>
                </w:tcPr>
                <w:p w14:paraId="67919588">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核查内存容量、频率、品牌及型号，通过系统信息、硬件管理界面或设备清单进行验证。</w:t>
                  </w:r>
                </w:p>
              </w:tc>
            </w:tr>
            <w:tr w14:paraId="1C21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1BB88C40">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3</w:t>
                  </w:r>
                </w:p>
              </w:tc>
              <w:tc>
                <w:tcPr>
                  <w:tcW w:w="796" w:type="dxa"/>
                  <w:vAlign w:val="center"/>
                </w:tcPr>
                <w:p w14:paraId="74C93429">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存储资源</w:t>
                  </w:r>
                </w:p>
              </w:tc>
              <w:tc>
                <w:tcPr>
                  <w:tcW w:w="2223" w:type="dxa"/>
                  <w:vAlign w:val="center"/>
                </w:tcPr>
                <w:p w14:paraId="2ED10867">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总规划存储容量不低于21 TB，满足集群计算任务、数据存储及科学计算软件运行需求。</w:t>
                  </w:r>
                </w:p>
              </w:tc>
              <w:tc>
                <w:tcPr>
                  <w:tcW w:w="1569" w:type="dxa"/>
                  <w:vAlign w:val="center"/>
                </w:tcPr>
                <w:p w14:paraId="1D807F25">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核查存储设备型号、数量、容量及存储配置，通过系统命令或存储管理界面进行验证。</w:t>
                  </w:r>
                </w:p>
              </w:tc>
            </w:tr>
            <w:tr w14:paraId="32F5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43C6E280">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4</w:t>
                  </w:r>
                </w:p>
              </w:tc>
              <w:tc>
                <w:tcPr>
                  <w:tcW w:w="796" w:type="dxa"/>
                  <w:vAlign w:val="center"/>
                </w:tcPr>
                <w:p w14:paraId="407D9288">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服务器管理功能</w:t>
                  </w:r>
                </w:p>
              </w:tc>
              <w:tc>
                <w:tcPr>
                  <w:tcW w:w="2223" w:type="dxa"/>
                  <w:vAlign w:val="center"/>
                </w:tcPr>
                <w:p w14:paraId="78C2E11D">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集成BMC管理芯片及配套管理系统，支持固件更新、日志收集、硬件信息查看、远程控制及远程修改BIOS；支持通过IPMI带外管理，以图形或图表方式监控服务器各部件运行状态；支持硬盘RAID组建及网卡管理。</w:t>
                  </w:r>
                </w:p>
              </w:tc>
              <w:tc>
                <w:tcPr>
                  <w:tcW w:w="1569" w:type="dxa"/>
                  <w:vAlign w:val="center"/>
                </w:tcPr>
                <w:p w14:paraId="5BAFDC85">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现场演示BMC管理界面及相关功能，检查IPMI带外管理、硬件状态监控、固件管理、远程控制、BIOS配置、RAID配置及网卡管理功能。</w:t>
                  </w:r>
                </w:p>
              </w:tc>
            </w:tr>
            <w:tr w14:paraId="2C62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477A61C4">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5</w:t>
                  </w:r>
                </w:p>
              </w:tc>
              <w:tc>
                <w:tcPr>
                  <w:tcW w:w="796" w:type="dxa"/>
                  <w:vAlign w:val="center"/>
                </w:tcPr>
                <w:p w14:paraId="6BD878F6">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集群资源调度平台</w:t>
                  </w:r>
                </w:p>
              </w:tc>
              <w:tc>
                <w:tcPr>
                  <w:tcW w:w="2223" w:type="dxa"/>
                  <w:vAlign w:val="center"/>
                </w:tcPr>
                <w:p w14:paraId="3E0D6969">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集成部署成熟的集群调度资源管理软件，提供与本次采购服务器规模相匹配的管理许可；具备集群资源监控、作业调度及资源管理能力，并提供相应的软件著作权登记证书。</w:t>
                  </w:r>
                </w:p>
              </w:tc>
              <w:tc>
                <w:tcPr>
                  <w:tcW w:w="1569" w:type="dxa"/>
                  <w:vAlign w:val="center"/>
                </w:tcPr>
                <w:p w14:paraId="5FEA1E0E">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核查软件部署情况、管理许可及软件著作权登记证书；现场登录平台检查资源监控和调度管理功能，并提供软件界面截图或第三方评测机构出具的检测报告。</w:t>
                  </w:r>
                </w:p>
              </w:tc>
            </w:tr>
            <w:tr w14:paraId="2E81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6129C85A">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6</w:t>
                  </w:r>
                </w:p>
              </w:tc>
              <w:tc>
                <w:tcPr>
                  <w:tcW w:w="796" w:type="dxa"/>
                  <w:vAlign w:val="center"/>
                </w:tcPr>
                <w:p w14:paraId="7E561824">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作业调度模块</w:t>
                  </w:r>
                </w:p>
              </w:tc>
              <w:tc>
                <w:tcPr>
                  <w:tcW w:w="2223" w:type="dxa"/>
                  <w:vAlign w:val="center"/>
                </w:tcPr>
                <w:p w14:paraId="4BC78743">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支持先来先服务、优先级抢占、公平共享、节点资源独占等调度策略；支持用户组和机器组管理，可针对队列及用户设置资源使用限制；支持自定义资源类型的调度与管理，同时支持CPU/GPU资源调度。</w:t>
                  </w:r>
                </w:p>
              </w:tc>
              <w:tc>
                <w:tcPr>
                  <w:tcW w:w="1569" w:type="dxa"/>
                  <w:vAlign w:val="center"/>
                </w:tcPr>
                <w:p w14:paraId="5D3523EF">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通过平台配置及作业提交测试验证各项调度策略、资源限制、用户组及机器组管理、自定义资源调度和CPU/GPU调度功能；提供软件界面截图或第三方检测报告。</w:t>
                  </w:r>
                </w:p>
              </w:tc>
            </w:tr>
            <w:tr w14:paraId="0A89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458375C3">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7</w:t>
                  </w:r>
                </w:p>
              </w:tc>
              <w:tc>
                <w:tcPr>
                  <w:tcW w:w="796" w:type="dxa"/>
                  <w:vAlign w:val="center"/>
                </w:tcPr>
                <w:p w14:paraId="1CB606B5">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数据传输权限管理</w:t>
                  </w:r>
                </w:p>
              </w:tc>
              <w:tc>
                <w:tcPr>
                  <w:tcW w:w="2223" w:type="dxa"/>
                  <w:vAlign w:val="center"/>
                </w:tcPr>
                <w:p w14:paraId="39C7FCEA">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支持管理员针对平台用户开启或关闭数据上传、下载权限，实现用户数据传输权限的管理与控制。</w:t>
                  </w:r>
                </w:p>
              </w:tc>
              <w:tc>
                <w:tcPr>
                  <w:tcW w:w="1569" w:type="dxa"/>
                  <w:vAlign w:val="center"/>
                </w:tcPr>
                <w:p w14:paraId="0587C57F">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现场演示管理员权限配置、用户上传及下载操作，验证权限开启和关闭后的功能变化；提供软件界面截图或第三方检测报告。</w:t>
                  </w:r>
                </w:p>
              </w:tc>
            </w:tr>
            <w:tr w14:paraId="0CAE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4977F5BF">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8</w:t>
                  </w:r>
                </w:p>
              </w:tc>
              <w:tc>
                <w:tcPr>
                  <w:tcW w:w="796" w:type="dxa"/>
                  <w:vAlign w:val="center"/>
                </w:tcPr>
                <w:p w14:paraId="78B950B0">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作业管理功能</w:t>
                  </w:r>
                </w:p>
              </w:tc>
              <w:tc>
                <w:tcPr>
                  <w:tcW w:w="2223" w:type="dxa"/>
                  <w:vAlign w:val="center"/>
                </w:tcPr>
                <w:p w14:paraId="700A259A">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用户可在线查看作业详情及实时输出信息；管理员可查看平台全部计算任务，并可在线执行暂停、终止、置顶、置底等操作；用户可删除本人作业列表中的指定作业，但删除后管理员仍可查看和监管该作业；支持显示作业排队号及前方待处理作业数量。</w:t>
                  </w:r>
                </w:p>
              </w:tc>
              <w:tc>
                <w:tcPr>
                  <w:tcW w:w="1569" w:type="dxa"/>
                  <w:vAlign w:val="center"/>
                </w:tcPr>
                <w:p w14:paraId="10EE4630">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通过用户及管理员账号分别进行作业提交、排队、实时输出查看、作业控制、用户删除及管理员追溯等功能测试；提供软件界面截图或第三方检测报告。</w:t>
                  </w:r>
                </w:p>
              </w:tc>
            </w:tr>
            <w:tr w14:paraId="2BFD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67857F7E">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9</w:t>
                  </w:r>
                </w:p>
              </w:tc>
              <w:tc>
                <w:tcPr>
                  <w:tcW w:w="796" w:type="dxa"/>
                  <w:vAlign w:val="center"/>
                </w:tcPr>
                <w:p w14:paraId="3FCF9BD1">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集群运行报表功能</w:t>
                  </w:r>
                </w:p>
              </w:tc>
              <w:tc>
                <w:tcPr>
                  <w:tcW w:w="2223" w:type="dxa"/>
                  <w:vAlign w:val="center"/>
                </w:tcPr>
                <w:p w14:paraId="6B90E7DD">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平台应提供集群可用性、CPU利用率、Swap空间利用率、作业吞吐量及作业CPU使用量等统计报表，支持查看相关指标的统计结果。Swap空间利用率应能够反映已使用交换空间占交换空间总容量的比例。</w:t>
                  </w:r>
                </w:p>
              </w:tc>
              <w:tc>
                <w:tcPr>
                  <w:tcW w:w="1569" w:type="dxa"/>
                  <w:vAlign w:val="center"/>
                </w:tcPr>
                <w:p w14:paraId="29E426AB">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登录平台查看相应报表及统计界面，核对指标名称、统计结果及数据来源；通过系统监控数据进行抽查比对；提供软件界面截图或第三方检测报告。</w:t>
                  </w:r>
                </w:p>
              </w:tc>
            </w:tr>
            <w:tr w14:paraId="38F8E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384CFCBF">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10</w:t>
                  </w:r>
                </w:p>
              </w:tc>
              <w:tc>
                <w:tcPr>
                  <w:tcW w:w="796" w:type="dxa"/>
                  <w:vAlign w:val="center"/>
                </w:tcPr>
                <w:p w14:paraId="7071CB06">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专业软件集成与运维服务</w:t>
                  </w:r>
                </w:p>
              </w:tc>
              <w:tc>
                <w:tcPr>
                  <w:tcW w:w="2223" w:type="dxa"/>
                  <w:vAlign w:val="center"/>
                </w:tcPr>
                <w:p w14:paraId="393104F7">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具备专业科学计算软件部署及运维支持能力，能够根据课题组需求搭建软件运行环境、配置运行依赖并安装相关科学数据库，保障平台“算法—代码—版图—器件”相关运行环境的部署与使用。</w:t>
                  </w:r>
                </w:p>
              </w:tc>
              <w:tc>
                <w:tcPr>
                  <w:tcW w:w="1569" w:type="dxa"/>
                  <w:vAlign w:val="center"/>
                </w:tcPr>
                <w:p w14:paraId="5457CD89">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核查软件部署清单、环境配置及科学数据库安装情况；根据双方确认的软件清单进行现场运行测试，并提供相应的技术文档及服务记录。</w:t>
                  </w:r>
                </w:p>
              </w:tc>
            </w:tr>
            <w:tr w14:paraId="64BC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8" w:type="dxa"/>
                  <w:vAlign w:val="center"/>
                </w:tcPr>
                <w:p w14:paraId="72845018">
                  <w:pPr>
                    <w:spacing w:line="240" w:lineRule="auto"/>
                    <w:jc w:val="center"/>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11</w:t>
                  </w:r>
                </w:p>
              </w:tc>
              <w:tc>
                <w:tcPr>
                  <w:tcW w:w="796" w:type="dxa"/>
                  <w:vAlign w:val="center"/>
                </w:tcPr>
                <w:p w14:paraId="46029BAF">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交付要求</w:t>
                  </w:r>
                </w:p>
              </w:tc>
              <w:tc>
                <w:tcPr>
                  <w:tcW w:w="2223" w:type="dxa"/>
                  <w:vAlign w:val="center"/>
                </w:tcPr>
                <w:p w14:paraId="6B9EAB3D">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自合同签订之日起15日内完成交货，采用一次性交付方式。</w:t>
                  </w:r>
                </w:p>
              </w:tc>
              <w:tc>
                <w:tcPr>
                  <w:tcW w:w="1569" w:type="dxa"/>
                  <w:vAlign w:val="center"/>
                </w:tcPr>
                <w:p w14:paraId="140D1EC8">
                  <w:pPr>
                    <w:spacing w:line="240" w:lineRule="auto"/>
                    <w:rPr>
                      <w:rFonts w:hint="eastAsia" w:ascii="宋体" w:hAnsi="宋体" w:cs="宋体"/>
                      <w:color w:val="222222"/>
                      <w:sz w:val="21"/>
                      <w:szCs w:val="21"/>
                      <w:shd w:val="clear" w:color="auto" w:fill="FFFFFF"/>
                    </w:rPr>
                  </w:pPr>
                  <w:r>
                    <w:rPr>
                      <w:rFonts w:ascii="宋体" w:hAnsi="宋体" w:cs="宋体"/>
                      <w:color w:val="222222"/>
                      <w:sz w:val="21"/>
                      <w:szCs w:val="21"/>
                      <w:shd w:val="clear" w:color="auto" w:fill="FFFFFF"/>
                    </w:rPr>
                    <w:t>核查到货清单、设备数量、交付日期及相关交付文件。</w:t>
                  </w:r>
                </w:p>
              </w:tc>
            </w:tr>
          </w:tbl>
          <w:p w14:paraId="1228665D">
            <w:pPr>
              <w:spacing w:line="240" w:lineRule="auto"/>
              <w:ind w:firstLine="420" w:firstLineChars="200"/>
              <w:rPr>
                <w:rFonts w:hint="eastAsia" w:ascii="宋体" w:hAnsi="宋体" w:cs="宋体"/>
                <w:bCs/>
                <w:color w:val="222222"/>
                <w:sz w:val="21"/>
                <w:szCs w:val="21"/>
                <w:shd w:val="clear" w:color="auto" w:fill="FFFFFF"/>
              </w:rPr>
            </w:pPr>
            <w:r>
              <w:rPr>
                <w:rFonts w:hint="eastAsia" w:ascii="宋体" w:hAnsi="宋体" w:cs="宋体"/>
                <w:bCs/>
                <w:sz w:val="21"/>
                <w:szCs w:val="21"/>
              </w:rPr>
              <w:t>本项目以合同、本询价要求及成交供应商响应文件中约定的技术参数和功能要求为验收依据，通过设备规格核验、系统命令检查、平台功能测试以及软件著作权登记证书和相关证明材料审查等方式进行验收。</w:t>
            </w:r>
          </w:p>
          <w:p w14:paraId="32EBAA5E">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（1）CPU：核验品牌、完整型号、物理核心数、基准频率、指令集及官方发布日期；</w:t>
            </w:r>
          </w:p>
          <w:p w14:paraId="15F3B4EA">
            <w:pPr>
              <w:spacing w:line="240" w:lineRule="auto"/>
              <w:rPr>
                <w:rFonts w:hint="eastAsia" w:ascii="宋体" w:hAnsi="宋体" w:cs="宋体"/>
                <w:bCs/>
                <w:sz w:val="21"/>
                <w:szCs w:val="21"/>
              </w:rPr>
            </w:pPr>
            <w:r>
              <w:rPr>
                <w:rFonts w:hint="eastAsia" w:ascii="宋体" w:hAnsi="宋体" w:cs="宋体"/>
                <w:bCs/>
                <w:sz w:val="21"/>
                <w:szCs w:val="21"/>
              </w:rPr>
              <w:t>（2）内存：核验总容量、类型、速率、品牌、产品铭牌、序列号及生产日期；</w:t>
            </w:r>
          </w:p>
          <w:p w14:paraId="06103742">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（3）存储及管理功能：核验存储总容量、RAID配置、BMC和IPMI带外管理功能；</w:t>
            </w:r>
          </w:p>
          <w:p w14:paraId="37249573">
            <w:pPr>
              <w:tabs>
                <w:tab w:val="left" w:pos="6915"/>
              </w:tabs>
              <w:spacing w:line="240" w:lineRule="auto"/>
              <w:jc w:val="left"/>
              <w:rPr>
                <w:rFonts w:hint="eastAsia" w:ascii="宋体" w:hAnsi="宋体" w:cs="宋体"/>
                <w:bCs/>
                <w:sz w:val="21"/>
                <w:szCs w:val="21"/>
              </w:rPr>
            </w:pPr>
            <w:r>
              <w:rPr>
                <w:rFonts w:hint="eastAsia" w:ascii="宋体" w:hAnsi="宋体" w:cs="宋体"/>
                <w:bCs/>
                <w:sz w:val="21"/>
                <w:szCs w:val="21"/>
              </w:rPr>
              <w:t>（4）资源调度平台：逐项测试作业调度、数据传输权限、作业管理和报表功能，并审查软件著作权登记证书及证明材料；</w:t>
            </w:r>
          </w:p>
          <w:p w14:paraId="118638A5">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（5）专业软件集成服务：核验约定的软件运行环境、科学数据库及相关交付文档。</w:t>
            </w:r>
          </w:p>
          <w:p w14:paraId="25D73FFA">
            <w:pPr>
              <w:spacing w:line="240" w:lineRule="auto"/>
              <w:rPr>
                <w:rFonts w:hint="eastAsia" w:ascii="宋体" w:hAnsi="宋体" w:cs="宋体"/>
                <w:bCs/>
                <w:color w:val="222222"/>
                <w:sz w:val="21"/>
                <w:szCs w:val="21"/>
                <w:shd w:val="clear" w:color="auto" w:fill="FFFFFF"/>
              </w:rPr>
            </w:pPr>
            <w:r>
              <w:rPr>
                <w:rFonts w:hint="eastAsia" w:ascii="宋体" w:hAnsi="宋体" w:cs="宋体"/>
                <w:bCs/>
                <w:sz w:val="21"/>
                <w:szCs w:val="21"/>
              </w:rPr>
              <w:t>验收结论：上述各项指标均达到合同约定，证明材料齐全，且设备、管理平台及约定的软件服务均通过验收测试的，视为满足本项目技术验收要求。最终验收结果以双方签字确认的验收记录为准。</w:t>
            </w:r>
          </w:p>
          <w:p w14:paraId="4DBE3229">
            <w:pPr>
              <w:spacing w:line="240" w:lineRule="auto"/>
              <w:rPr>
                <w:rFonts w:hint="eastAsia" w:ascii="宋体" w:hAnsi="宋体" w:cs="宋体"/>
                <w:bCs/>
                <w:sz w:val="21"/>
                <w:szCs w:val="21"/>
              </w:rPr>
            </w:pPr>
            <w:r>
              <w:rPr>
                <w:rFonts w:hint="eastAsia" w:ascii="宋体" w:hAnsi="宋体" w:cs="宋体"/>
                <w:b/>
                <w:sz w:val="21"/>
                <w:szCs w:val="21"/>
              </w:rPr>
              <w:t>阶段性检查要求：</w:t>
            </w:r>
          </w:p>
          <w:p w14:paraId="06E59BC1">
            <w:pPr>
              <w:spacing w:line="240" w:lineRule="auto"/>
              <w:rPr>
                <w:rFonts w:hint="eastAsia" w:ascii="宋体" w:hAnsi="宋体" w:cs="宋体"/>
                <w:bCs/>
                <w:sz w:val="21"/>
                <w:szCs w:val="21"/>
              </w:rPr>
            </w:pPr>
            <w:r>
              <w:rPr>
                <w:rFonts w:hint="eastAsia" w:ascii="宋体" w:hAnsi="宋体" w:cs="宋体"/>
                <w:bCs/>
                <w:sz w:val="21"/>
                <w:szCs w:val="21"/>
              </w:rPr>
              <w:t>出厂测试：乙方须在系统进场安装部署前完成出厂测试，依据本文件“规格和技术参数”逐项测试并形成完整测试记录；测试合格后方可进场安装部署。</w:t>
            </w:r>
          </w:p>
          <w:p w14:paraId="319501D9">
            <w:pPr>
              <w:spacing w:line="240" w:lineRule="auto"/>
              <w:rPr>
                <w:rFonts w:hint="eastAsia" w:ascii="宋体" w:hAnsi="宋体" w:cs="宋体"/>
                <w:b/>
                <w:sz w:val="21"/>
                <w:szCs w:val="21"/>
              </w:rPr>
            </w:pPr>
            <w:r>
              <w:rPr>
                <w:rFonts w:hint="eastAsia" w:ascii="宋体" w:hAnsi="宋体" w:cs="宋体"/>
                <w:b/>
                <w:sz w:val="21"/>
                <w:szCs w:val="21"/>
              </w:rPr>
              <w:t>保修及售后服务：</w:t>
            </w:r>
          </w:p>
          <w:p w14:paraId="6242AA55">
            <w:pPr>
              <w:spacing w:line="240" w:lineRule="auto"/>
              <w:rPr>
                <w:rFonts w:hint="eastAsia" w:ascii="宋体" w:hAnsi="宋体" w:cs="宋体"/>
                <w:bCs/>
                <w:sz w:val="21"/>
                <w:szCs w:val="21"/>
              </w:rPr>
            </w:pPr>
            <w:r>
              <w:rPr>
                <w:rFonts w:hint="eastAsia" w:ascii="宋体" w:hAnsi="宋体" w:cs="宋体"/>
                <w:bCs/>
                <w:sz w:val="21"/>
                <w:szCs w:val="21"/>
              </w:rPr>
              <w:t>供应商须对整机硬件、系统软件及全部交付文档提供不少于36个月的质量保证和维护服务。质保期内，供应商在收到采购方通过电话、电子邮件或微信等方式发出的通知后，应在2个工作日内响应，并免费提供远程或上门维护、故障排查及缺陷修复服务。质保期内如出现质量问题、功能缺陷或与本询价要求不符的情形，供应商须按采购方要求在规定期限内予以修理、更换或退货，并承担由此产生的全部费用。</w:t>
            </w:r>
          </w:p>
          <w:p w14:paraId="08AE5176">
            <w:pPr>
              <w:spacing w:line="240" w:lineRule="auto"/>
              <w:rPr>
                <w:rFonts w:hint="eastAsia" w:ascii="宋体" w:hAnsi="宋体" w:cs="宋体"/>
                <w:b/>
                <w:sz w:val="21"/>
                <w:szCs w:val="21"/>
              </w:rPr>
            </w:pPr>
            <w:r>
              <w:rPr>
                <w:rFonts w:hint="eastAsia" w:ascii="宋体" w:hAnsi="宋体" w:cs="宋体"/>
                <w:b/>
                <w:sz w:val="21"/>
                <w:szCs w:val="21"/>
              </w:rPr>
              <w:t>其他：</w:t>
            </w:r>
          </w:p>
          <w:p w14:paraId="709B1222">
            <w:pPr>
              <w:spacing w:line="240" w:lineRule="auto"/>
              <w:rPr>
                <w:rFonts w:hint="eastAsia" w:ascii="宋体" w:hAnsi="宋体" w:cs="宋体" w:eastAsiaTheme="minorEastAsia"/>
                <w:bCs/>
                <w:sz w:val="21"/>
                <w:szCs w:val="21"/>
                <w:highlight w:val="yellow"/>
                <w:lang w:eastAsia="zh-CN"/>
              </w:rPr>
            </w:pPr>
            <w:r>
              <w:rPr>
                <w:rFonts w:hint="eastAsia" w:ascii="宋体" w:hAnsi="宋体" w:cs="宋体"/>
                <w:bCs/>
                <w:sz w:val="21"/>
                <w:szCs w:val="21"/>
              </w:rPr>
              <w:t>1.承担单位应具备科研数据管理系统、科学装置数据管理系统或同类软件系统开发经验</w:t>
            </w:r>
            <w:r>
              <w:rPr>
                <w:rFonts w:hint="eastAsia" w:ascii="宋体" w:hAnsi="宋体" w:cs="宋体"/>
                <w:bCs/>
                <w:sz w:val="21"/>
                <w:szCs w:val="21"/>
                <w:lang w:eastAsia="zh-CN"/>
              </w:rPr>
              <w:t>。</w:t>
            </w:r>
          </w:p>
          <w:p w14:paraId="08065E29">
            <w:pPr>
              <w:pStyle w:val="6"/>
              <w:keepNext w:val="0"/>
              <w:keepLines w:val="0"/>
              <w:pageBreakBefore w:val="0"/>
              <w:widowControl w:val="0"/>
              <w:numPr>
                <w:ilvl w:val="0"/>
                <w:numId w:val="0"/>
              </w:numPr>
              <w:tabs>
                <w:tab w:val="left" w:pos="6915"/>
              </w:tabs>
              <w:kinsoku/>
              <w:topLinePunct w:val="0"/>
              <w:autoSpaceDE/>
              <w:autoSpaceDN/>
              <w:bidi w:val="0"/>
              <w:adjustRightInd w:val="0"/>
              <w:snapToGrid w:val="0"/>
              <w:spacing w:line="240" w:lineRule="auto"/>
              <w:ind w:leftChars="0"/>
              <w:jc w:val="left"/>
              <w:textAlignment w:val="auto"/>
              <w:rPr>
                <w:rFonts w:hint="eastAsia" w:ascii="宋体" w:hAnsi="宋体"/>
                <w:b w:val="0"/>
                <w:bCs/>
                <w:sz w:val="24"/>
                <w:szCs w:val="24"/>
                <w:lang w:val="en-US" w:eastAsia="zh-CN"/>
              </w:rPr>
            </w:pPr>
            <w:r>
              <w:rPr>
                <w:rFonts w:hint="eastAsia" w:ascii="宋体" w:hAnsi="宋体" w:cs="宋体"/>
                <w:bCs/>
                <w:sz w:val="21"/>
                <w:szCs w:val="21"/>
              </w:rPr>
              <w:t>2.项目实施期间应提供不少于1-2名技术人员驻场或准驻场服务，具体安排由双方协商确定。</w:t>
            </w:r>
          </w:p>
        </w:tc>
        <w:tc>
          <w:tcPr>
            <w:tcW w:w="1201" w:type="dxa"/>
            <w:vAlign w:val="center"/>
          </w:tcPr>
          <w:p w14:paraId="5D3E4FB5">
            <w:pPr>
              <w:spacing w:line="240" w:lineRule="atLeast"/>
              <w:jc w:val="center"/>
              <w:rPr>
                <w:sz w:val="24"/>
                <w:szCs w:val="24"/>
              </w:rPr>
            </w:pPr>
          </w:p>
        </w:tc>
        <w:tc>
          <w:tcPr>
            <w:tcW w:w="992" w:type="dxa"/>
            <w:vAlign w:val="center"/>
          </w:tcPr>
          <w:p w14:paraId="643744E8">
            <w:pPr>
              <w:spacing w:line="240" w:lineRule="atLeast"/>
              <w:jc w:val="center"/>
              <w:rPr>
                <w:sz w:val="24"/>
                <w:szCs w:val="24"/>
              </w:rPr>
            </w:pPr>
          </w:p>
        </w:tc>
      </w:tr>
    </w:tbl>
    <w:p w14:paraId="3A513D56">
      <w:pPr>
        <w:wordWrap w:val="0"/>
        <w:ind w:right="840"/>
        <w:jc w:val="right"/>
        <w:rPr>
          <w:rFonts w:hint="eastAsia"/>
          <w:sz w:val="24"/>
          <w:szCs w:val="24"/>
          <w:lang w:val="en-US" w:eastAsia="zh-CN"/>
        </w:rPr>
      </w:pPr>
      <w:r>
        <w:rPr>
          <w:rFonts w:hint="eastAsia"/>
          <w:sz w:val="24"/>
          <w:szCs w:val="24"/>
          <w:lang w:val="en-US" w:eastAsia="zh-CN"/>
        </w:rPr>
        <w:t xml:space="preserve">  </w:t>
      </w:r>
    </w:p>
    <w:p w14:paraId="00BC0982">
      <w:pPr>
        <w:wordWrap w:val="0"/>
        <w:ind w:right="840"/>
        <w:jc w:val="right"/>
        <w:rPr>
          <w:rFonts w:hint="default" w:eastAsiaTheme="minorEastAsia"/>
          <w:sz w:val="24"/>
          <w:szCs w:val="24"/>
          <w:lang w:val="en-US" w:eastAsia="zh-CN"/>
        </w:rPr>
      </w:pPr>
      <w:r>
        <w:rPr>
          <w:sz w:val="24"/>
          <w:szCs w:val="24"/>
        </w:rPr>
        <w:t>公司名称</w:t>
      </w:r>
      <w:r>
        <w:rPr>
          <w:rFonts w:hint="eastAsia"/>
          <w:sz w:val="24"/>
          <w:szCs w:val="24"/>
        </w:rPr>
        <w:t>（盖章）：</w:t>
      </w:r>
      <w:r>
        <w:rPr>
          <w:rFonts w:hint="eastAsia"/>
          <w:sz w:val="24"/>
          <w:szCs w:val="24"/>
        </w:rPr>
        <w:br w:type="textWrapping"/>
      </w:r>
      <w:r>
        <w:rPr>
          <w:sz w:val="24"/>
          <w:szCs w:val="24"/>
        </w:rPr>
        <w:t>日期</w:t>
      </w:r>
      <w:r>
        <w:rPr>
          <w:rFonts w:hint="eastAsia"/>
          <w:sz w:val="24"/>
          <w:szCs w:val="24"/>
        </w:rPr>
        <w:t>：</w:t>
      </w:r>
      <w:r>
        <w:rPr>
          <w:rFonts w:hint="eastAsia"/>
          <w:sz w:val="24"/>
          <w:szCs w:val="24"/>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F6C24"/>
    <w:rsid w:val="03906C14"/>
    <w:rsid w:val="04EF6C24"/>
    <w:rsid w:val="16E66AD0"/>
    <w:rsid w:val="230C3504"/>
    <w:rsid w:val="38C84348"/>
    <w:rsid w:val="40620CE9"/>
    <w:rsid w:val="41A921BE"/>
    <w:rsid w:val="4D403FED"/>
    <w:rsid w:val="4E8A19EA"/>
    <w:rsid w:val="56137BF2"/>
    <w:rsid w:val="582022AB"/>
    <w:rsid w:val="5906339C"/>
    <w:rsid w:val="5DFF120B"/>
    <w:rsid w:val="60854C98"/>
    <w:rsid w:val="7EF22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Strong"/>
    <w:basedOn w:val="4"/>
    <w:qFormat/>
    <w:uiPriority w:val="0"/>
    <w:rPr>
      <w:b/>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1359</Words>
  <Characters>1550</Characters>
  <Lines>0</Lines>
  <Paragraphs>0</Paragraphs>
  <TotalTime>1</TotalTime>
  <ScaleCrop>false</ScaleCrop>
  <LinksUpToDate>false</LinksUpToDate>
  <CharactersWithSpaces>1556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2026-07-17T08:11:00Z</dcterms:created>
  <dc:creator>DELL</dc:creator>
  <cp:lastModifiedBy>王小宇</cp:lastModifiedBy>
  <dcterms:modified xsi:type="dcterms:W3CDTF">2026-11-02T09:27:03Z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15251F69B01D47CB8D3FD0E2F15BCA47_13</vt:lpwstr>
  </property>
  <property fmtid="{D5CDD505-2E9C-101B-9397-08002B2CF9AE}" pid="4" name="KSOTemplateDocerSaveRecord">
    <vt:lpwstr>eyJoZGlkIjoiN2RmNGQ2MDc0ZGFiNmIyNjNmMmJiNzcxMzg1OWQzY2YiLCJ1c2VySWQiOiIxNzkyMjQ5NTEzIn0=</vt:lpwstr>
  </property>
</Properties>
</file>