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lang w:val="en-US" w:eastAsia="zh-CN"/>
              </w:rPr>
              <w:t>飞秒激光器</w:t>
            </w:r>
          </w:p>
        </w:tc>
        <w:tc>
          <w:tcPr>
            <w:tcW w:w="5322" w:type="dxa"/>
            <w:vAlign w:val="center"/>
          </w:tcPr>
          <w:p w14:paraId="1BF9F3D8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中心波长：343±3nm</w:t>
            </w:r>
          </w:p>
          <w:p w14:paraId="5F0C6681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平均功率：≥2W@200kHz</w:t>
            </w:r>
          </w:p>
          <w:p w14:paraId="79C5562D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功率稳定性：≤1% RMS</w:t>
            </w:r>
          </w:p>
          <w:p w14:paraId="2287EB18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重复频率：单脉冲-200kHz可调（200kHz整除）</w:t>
            </w:r>
          </w:p>
          <w:p w14:paraId="5352BD2D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单脉冲能量：≥10uJ@200kHz</w:t>
            </w:r>
          </w:p>
          <w:p w14:paraId="28304FCD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脉冲宽度：≤700fs</w:t>
            </w:r>
          </w:p>
          <w:p w14:paraId="607226E4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光斑圆度：≥90%</w:t>
            </w:r>
          </w:p>
          <w:p w14:paraId="164AD43E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光斑尺寸：2±1mm</w:t>
            </w:r>
          </w:p>
          <w:p w14:paraId="4FBD1914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发散角：≤1mrad</w:t>
            </w:r>
          </w:p>
          <w:p w14:paraId="2477E3D7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激光器采用分体式设计，激光头和电控箱分开，激光头尺寸：不大于</w:t>
            </w:r>
            <w:r>
              <w:rPr>
                <w:sz w:val="24"/>
                <w:szCs w:val="24"/>
              </w:rPr>
              <w:t>90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*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*</w:t>
            </w:r>
            <w:r>
              <w:rPr>
                <w:sz w:val="24"/>
                <w:szCs w:val="24"/>
              </w:rPr>
              <w:t>14</w:t>
            </w:r>
            <w:r>
              <w:rPr>
                <w:rFonts w:hint="eastAsia"/>
                <w:sz w:val="24"/>
                <w:szCs w:val="24"/>
              </w:rPr>
              <w:t>cm，电控箱尺寸：不大于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*</w:t>
            </w: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*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4cm</w:t>
            </w:r>
          </w:p>
          <w:p w14:paraId="6927D9B4">
            <w:pPr>
              <w:pStyle w:val="5"/>
              <w:numPr>
                <w:ilvl w:val="0"/>
                <w:numId w:val="1"/>
              </w:numPr>
              <w:ind w:firstLineChars="0"/>
              <w:contextualSpacing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冷却方式：水冷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6DA9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7420338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ADC3A9D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合同签订后支付合同总价的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>0%；货到验收合格后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支付尾款</w:t>
            </w:r>
            <w:r>
              <w:rPr>
                <w:sz w:val="24"/>
                <w:szCs w:val="24"/>
              </w:rPr>
              <w:t>。</w:t>
            </w:r>
          </w:p>
          <w:p w14:paraId="1901AA6E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1、厂家提供参数测试报告；2、厂家提供操作手册；</w:t>
            </w:r>
          </w:p>
          <w:p w14:paraId="52609000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12个月质保期</w:t>
            </w:r>
          </w:p>
          <w:p w14:paraId="24F8A29A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79C1A6C4">
            <w:pPr>
              <w:pStyle w:val="5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1、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供应商报价时，需写明产品的制造商（品牌），提供型号和详细技术参数；</w:t>
            </w:r>
          </w:p>
          <w:p w14:paraId="664DFFFC">
            <w:pPr>
              <w:pStyle w:val="5"/>
              <w:numPr>
                <w:ilvl w:val="0"/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2、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中标供应商在询价结束后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一周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内、合同签订前，</w:t>
            </w:r>
            <w:r>
              <w:rPr>
                <w:rFonts w:hint="eastAsia"/>
                <w:sz w:val="24"/>
                <w:szCs w:val="24"/>
              </w:rPr>
              <w:t>提供样机进行验证测试</w:t>
            </w:r>
            <w:r>
              <w:rPr>
                <w:rFonts w:ascii="宋体" w:hAnsi="宋体" w:cs="宋体"/>
                <w:bCs/>
                <w:sz w:val="24"/>
                <w:szCs w:val="24"/>
              </w:rPr>
              <w:t>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66837E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A20488"/>
    <w:multiLevelType w:val="multilevel"/>
    <w:tmpl w:val="6BA2048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03513"/>
    <w:rsid w:val="6820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2026-06-24T03:13:00Z</dcterms:created>
  <dc:creator>DELL</dc:creator>
  <cp:lastModifiedBy>DELL</cp:lastModifiedBy>
  <dcterms:modified xsi:type="dcterms:W3CDTF">2026-06-24T03:17:20Z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412408F44B2446F4A23CBB8B6C9D0D95_11</vt:lpwstr>
  </property>
  <property fmtid="{D5CDD505-2E9C-101B-9397-08002B2CF9AE}" pid="4" name="KSOTemplateDocerSaveRecord">
    <vt:lpwstr>eyJoZGlkIjoiN2RmNGQ2MDc0ZGFiNmIyNjNmMmJiNzcxMzg1OWQzY2YifQ==</vt:lpwstr>
  </property>
</Properties>
</file>