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lang w:val="en-US" w:eastAsia="zh-CN"/>
              </w:rPr>
              <w:t>屏蔽波纹管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054660BE">
            <w:pPr>
              <w:adjustRightInd w:val="0"/>
              <w:snapToGrid w:val="0"/>
              <w:spacing w:line="360" w:lineRule="auto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eastAsiaTheme="minorEastAsia"/>
                <w:b/>
                <w:bCs/>
                <w:sz w:val="21"/>
                <w:szCs w:val="21"/>
                <w:lang w:val="en-US" w:eastAsia="zh-CN"/>
              </w:rPr>
              <w:t>1、屏蔽波纹管</w:t>
            </w:r>
            <w:r>
              <w:rPr>
                <w:rFonts w:eastAsiaTheme="minorEastAsia"/>
                <w:b/>
                <w:bCs/>
                <w:sz w:val="21"/>
                <w:szCs w:val="21"/>
              </w:rPr>
              <w:t>技术指标</w:t>
            </w:r>
            <w:r>
              <w:rPr>
                <w:rFonts w:hint="eastAsia" w:eastAsiaTheme="minorEastAsia"/>
                <w:b/>
                <w:bCs/>
                <w:sz w:val="21"/>
                <w:szCs w:val="21"/>
                <w:lang w:val="en-US" w:eastAsia="zh-CN"/>
              </w:rPr>
              <w:t>如下</w:t>
            </w:r>
            <w:r>
              <w:rPr>
                <w:rFonts w:eastAsiaTheme="minorEastAsia"/>
                <w:b/>
                <w:bCs/>
                <w:sz w:val="21"/>
                <w:szCs w:val="21"/>
              </w:rPr>
              <w:t>：</w:t>
            </w:r>
            <w:bookmarkStart w:id="0" w:name="OLE_LINK2"/>
          </w:p>
          <w:bookmarkEnd w:id="0"/>
          <w:tbl>
            <w:tblPr>
              <w:tblStyle w:val="3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91"/>
              <w:gridCol w:w="3605"/>
            </w:tblGrid>
            <w:tr w14:paraId="70474D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77FA01B5">
                  <w:pPr>
                    <w:adjustRightInd w:val="0"/>
                    <w:snapToGrid w:val="0"/>
                    <w:jc w:val="center"/>
                    <w:rPr>
                      <w:rFonts w:eastAsiaTheme="minorEastAsia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eastAsiaTheme="minorEastAsia"/>
                      <w:b/>
                      <w:bCs/>
                      <w:sz w:val="21"/>
                      <w:szCs w:val="21"/>
                    </w:rPr>
                    <w:t>技术指标</w:t>
                  </w:r>
                </w:p>
              </w:tc>
              <w:tc>
                <w:tcPr>
                  <w:tcW w:w="5853" w:type="dxa"/>
                  <w:vAlign w:val="center"/>
                </w:tcPr>
                <w:p w14:paraId="4D206ECB">
                  <w:pPr>
                    <w:adjustRightInd w:val="0"/>
                    <w:snapToGrid w:val="0"/>
                    <w:jc w:val="center"/>
                    <w:rPr>
                      <w:rFonts w:eastAsiaTheme="minorEastAsia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eastAsiaTheme="minorEastAsia"/>
                      <w:b/>
                      <w:bCs/>
                      <w:sz w:val="21"/>
                      <w:szCs w:val="21"/>
                    </w:rPr>
                    <w:t>参数</w:t>
                  </w:r>
                </w:p>
              </w:tc>
            </w:tr>
            <w:tr w14:paraId="5D2045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7A6C1CA4">
                  <w:pPr>
                    <w:adjustRightInd w:val="0"/>
                    <w:snapToGrid w:val="0"/>
                    <w:jc w:val="center"/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数量</w:t>
                  </w:r>
                </w:p>
              </w:tc>
              <w:tc>
                <w:tcPr>
                  <w:tcW w:w="5853" w:type="dxa"/>
                  <w:vAlign w:val="center"/>
                </w:tcPr>
                <w:p w14:paraId="2093B1FF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详见图纸目录</w:t>
                  </w:r>
                </w:p>
              </w:tc>
            </w:tr>
            <w:tr w14:paraId="07CEDD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3A0B8CE5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入口/出口法兰</w:t>
                  </w:r>
                </w:p>
              </w:tc>
              <w:tc>
                <w:tcPr>
                  <w:tcW w:w="5853" w:type="dxa"/>
                  <w:vAlign w:val="center"/>
                </w:tcPr>
                <w:p w14:paraId="6828FF16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DN40-CF35</w:t>
                  </w:r>
                  <w:r>
                    <w:rPr>
                      <w:rFonts w:hint="eastAsia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  <w:t>均为松套，其它以具体图纸为准</w:t>
                  </w:r>
                </w:p>
              </w:tc>
            </w:tr>
            <w:tr w14:paraId="120E17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260C21BF">
                  <w:pPr>
                    <w:adjustRightInd w:val="0"/>
                    <w:snapToGrid w:val="0"/>
                    <w:jc w:val="center"/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束流孔径</w:t>
                  </w:r>
                </w:p>
              </w:tc>
              <w:tc>
                <w:tcPr>
                  <w:tcW w:w="5853" w:type="dxa"/>
                  <w:vAlign w:val="center"/>
                </w:tcPr>
                <w:p w14:paraId="3A776944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Φ35 mm，</w:t>
                  </w:r>
                  <w:r>
                    <w:rPr>
                      <w:rFonts w:hint="eastAsia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  <w:t>以具体图纸为准</w:t>
                  </w:r>
                </w:p>
              </w:tc>
            </w:tr>
            <w:tr w14:paraId="3AA81A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1150E4FF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长度</w:t>
                  </w:r>
                </w:p>
              </w:tc>
              <w:tc>
                <w:tcPr>
                  <w:tcW w:w="5853" w:type="dxa"/>
                  <w:vAlign w:val="center"/>
                </w:tcPr>
                <w:p w14:paraId="024A3A4B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100-120 mm</w:t>
                  </w:r>
                  <w:r>
                    <w:rPr>
                      <w:rFonts w:hint="eastAsia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  <w:t>，以具体图纸为准</w:t>
                  </w:r>
                </w:p>
              </w:tc>
            </w:tr>
            <w:tr w14:paraId="45FB9F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4199A354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压缩量</w:t>
                  </w:r>
                </w:p>
              </w:tc>
              <w:tc>
                <w:tcPr>
                  <w:tcW w:w="5853" w:type="dxa"/>
                  <w:vAlign w:val="center"/>
                </w:tcPr>
                <w:p w14:paraId="3E1BA7A8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≥ 15 mm</w:t>
                  </w:r>
                </w:p>
              </w:tc>
            </w:tr>
            <w:tr w14:paraId="542387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21176CD0">
                  <w:pPr>
                    <w:adjustRightInd w:val="0"/>
                    <w:snapToGrid w:val="0"/>
                    <w:jc w:val="center"/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拉伸量</w:t>
                  </w:r>
                </w:p>
              </w:tc>
              <w:tc>
                <w:tcPr>
                  <w:tcW w:w="5853" w:type="dxa"/>
                  <w:vAlign w:val="center"/>
                </w:tcPr>
                <w:p w14:paraId="0CCB4124">
                  <w:pPr>
                    <w:adjustRightInd w:val="0"/>
                    <w:snapToGrid w:val="0"/>
                    <w:jc w:val="center"/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≥ 5 mm</w:t>
                  </w:r>
                </w:p>
              </w:tc>
            </w:tr>
            <w:tr w14:paraId="30A0EA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6117C9E2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横向偏移量</w:t>
                  </w:r>
                </w:p>
              </w:tc>
              <w:tc>
                <w:tcPr>
                  <w:tcW w:w="5853" w:type="dxa"/>
                  <w:vAlign w:val="center"/>
                </w:tcPr>
                <w:p w14:paraId="68A8D930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≥ ±1 mm</w:t>
                  </w:r>
                </w:p>
              </w:tc>
            </w:tr>
            <w:tr w14:paraId="6798B0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284FC3E1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相对磁导率</w:t>
                  </w:r>
                </w:p>
              </w:tc>
              <w:tc>
                <w:tcPr>
                  <w:tcW w:w="5853" w:type="dxa"/>
                  <w:vAlign w:val="center"/>
                </w:tcPr>
                <w:p w14:paraId="171A50C1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≤1.02</w:t>
                  </w:r>
                </w:p>
              </w:tc>
            </w:tr>
            <w:tr w14:paraId="1DABB4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67BA63D8">
                  <w:pPr>
                    <w:adjustRightInd w:val="0"/>
                    <w:snapToGrid w:val="0"/>
                    <w:jc w:val="center"/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漏率</w:t>
                  </w:r>
                </w:p>
              </w:tc>
              <w:tc>
                <w:tcPr>
                  <w:tcW w:w="5853" w:type="dxa"/>
                  <w:vAlign w:val="center"/>
                </w:tcPr>
                <w:p w14:paraId="74954602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  <w:t>≤ 2E-10 mbar·L/s</w:t>
                  </w:r>
                </w:p>
              </w:tc>
            </w:tr>
            <w:tr w14:paraId="46AB05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  <w:jc w:val="center"/>
              </w:trPr>
              <w:tc>
                <w:tcPr>
                  <w:tcW w:w="2561" w:type="dxa"/>
                  <w:vAlign w:val="center"/>
                </w:tcPr>
                <w:p w14:paraId="517AE3F2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极限真空</w:t>
                  </w:r>
                </w:p>
              </w:tc>
              <w:tc>
                <w:tcPr>
                  <w:tcW w:w="5853" w:type="dxa"/>
                  <w:vAlign w:val="center"/>
                </w:tcPr>
                <w:p w14:paraId="23622BFB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  <w:t>≤ 2E-7 Pa</w:t>
                  </w:r>
                </w:p>
              </w:tc>
            </w:tr>
            <w:tr w14:paraId="1D6A1F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33A8AC04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屏蔽结构</w:t>
                  </w:r>
                </w:p>
              </w:tc>
              <w:tc>
                <w:tcPr>
                  <w:tcW w:w="5853" w:type="dxa"/>
                  <w:vAlign w:val="center"/>
                </w:tcPr>
                <w:p w14:paraId="704924D0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  <w:t>参考屏蔽波纹管结构示意图</w:t>
                  </w:r>
                </w:p>
              </w:tc>
            </w:tr>
            <w:tr w14:paraId="409E97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43A20E0A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材料</w:t>
                  </w:r>
                </w:p>
              </w:tc>
              <w:tc>
                <w:tcPr>
                  <w:tcW w:w="5853" w:type="dxa"/>
                  <w:vAlign w:val="center"/>
                </w:tcPr>
                <w:p w14:paraId="2A6A7C8D">
                  <w:pPr>
                    <w:adjustRightInd w:val="0"/>
                    <w:snapToGrid w:val="0"/>
                    <w:jc w:val="center"/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波纹管法兰及波纹管波片材料采用316LN，屏蔽波纹管的弹簧指材料采用Inconel625、接触指材料采用C17200</w:t>
                  </w:r>
                </w:p>
              </w:tc>
            </w:tr>
            <w:tr w14:paraId="090BA9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561" w:type="dxa"/>
                  <w:vAlign w:val="center"/>
                </w:tcPr>
                <w:p w14:paraId="47273E29">
                  <w:pPr>
                    <w:adjustRightInd w:val="0"/>
                    <w:snapToGrid w:val="0"/>
                    <w:jc w:val="center"/>
                    <w:rPr>
                      <w:rFonts w:hint="default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b/>
                      <w:bCs/>
                      <w:sz w:val="21"/>
                      <w:szCs w:val="21"/>
                      <w:lang w:val="en-US" w:eastAsia="zh-CN"/>
                    </w:rPr>
                    <w:t>镀银要求</w:t>
                  </w:r>
                </w:p>
              </w:tc>
              <w:tc>
                <w:tcPr>
                  <w:tcW w:w="5853" w:type="dxa"/>
                  <w:vAlign w:val="center"/>
                </w:tcPr>
                <w:p w14:paraId="44BD80B1">
                  <w:pPr>
                    <w:adjustRightInd w:val="0"/>
                    <w:snapToGrid w:val="0"/>
                    <w:jc w:val="center"/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eastAsiaTheme="minorEastAsia"/>
                      <w:sz w:val="21"/>
                      <w:szCs w:val="21"/>
                      <w:lang w:val="en-US" w:eastAsia="zh-CN"/>
                    </w:rPr>
                    <w:t>弹簧指以及与接触指接触的真空管道表面镀银5~10 μm，接触指进行315℃热处理，使其表面硬度（HV）降至350±10，保证良好的电接触性能，弹簧指预折后不得进行热处理</w:t>
                  </w:r>
                </w:p>
              </w:tc>
            </w:tr>
          </w:tbl>
          <w:p w14:paraId="11CC05AE">
            <w:pPr>
              <w:adjustRightInd w:val="0"/>
              <w:snapToGrid w:val="0"/>
              <w:spacing w:line="360" w:lineRule="auto"/>
              <w:rPr>
                <w:rFonts w:eastAsiaTheme="minorEastAsia"/>
                <w:sz w:val="21"/>
                <w:szCs w:val="21"/>
              </w:rPr>
            </w:pPr>
          </w:p>
          <w:p w14:paraId="2671EFE3">
            <w:pPr>
              <w:adjustRightInd w:val="0"/>
              <w:snapToGrid w:val="0"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drawing>
                <wp:inline distT="0" distB="0" distL="114300" distR="114300">
                  <wp:extent cx="2141855" cy="1264285"/>
                  <wp:effectExtent l="0" t="0" r="10795" b="1206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  <w:szCs w:val="21"/>
              </w:rPr>
              <w:drawing>
                <wp:inline distT="0" distB="0" distL="114300" distR="114300">
                  <wp:extent cx="1640205" cy="1156335"/>
                  <wp:effectExtent l="0" t="0" r="17145" b="571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156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5CAB87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图1  屏蔽波纹管结构示意图</w:t>
            </w:r>
          </w:p>
          <w:p w14:paraId="315A881A"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rPr>
                <w:rFonts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eastAsiaTheme="minorEastAsia"/>
                <w:b/>
                <w:bCs/>
                <w:sz w:val="21"/>
                <w:szCs w:val="21"/>
                <w:lang w:val="en-US" w:eastAsia="zh-CN"/>
              </w:rPr>
              <w:t>其他要求</w:t>
            </w:r>
            <w:r>
              <w:rPr>
                <w:rFonts w:eastAsiaTheme="minorEastAsia"/>
                <w:b/>
                <w:bCs/>
                <w:sz w:val="21"/>
                <w:szCs w:val="21"/>
              </w:rPr>
              <w:t>：</w:t>
            </w:r>
          </w:p>
          <w:p w14:paraId="0185C5F8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1)</w:t>
            </w:r>
            <w:r>
              <w:rPr>
                <w:rFonts w:hint="eastAsia"/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相关尺寸公差控制在0.2mm以内；</w:t>
            </w:r>
          </w:p>
          <w:p w14:paraId="388ED9C3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2)</w:t>
            </w:r>
            <w:r>
              <w:rPr>
                <w:rFonts w:hint="eastAsia"/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保证法兰刀口及密封面不受损伤，无划痕、毛刺等其他影响真空密封的缺陷；</w:t>
            </w:r>
          </w:p>
          <w:p w14:paraId="0D3B84EF">
            <w:pPr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</w:rPr>
              <w:t>3)</w:t>
            </w:r>
            <w:r>
              <w:rPr>
                <w:rFonts w:hint="eastAsia"/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焊缝规则、连续、均匀、光滑，法兰密封面与腔体表面无凸起、毛刺和明显缝隙</w:t>
            </w:r>
            <w:r>
              <w:rPr>
                <w:rFonts w:hint="eastAsia"/>
                <w:sz w:val="21"/>
                <w:szCs w:val="21"/>
                <w:lang w:eastAsia="zh-CN"/>
              </w:rPr>
              <w:t>；</w:t>
            </w:r>
          </w:p>
          <w:p w14:paraId="4EC5E887">
            <w:pPr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4)</w:t>
            </w:r>
            <w:r>
              <w:rPr>
                <w:rFonts w:hint="eastAsia"/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焊接前需要进行必要的清洗和抛光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</w:rPr>
              <w:t>焊接后严格禁止对焊缝进行加工处理，以免产生漏气或造成漏气隐患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清洗需满足超高真空工艺规范</w:t>
            </w:r>
            <w:r>
              <w:rPr>
                <w:rFonts w:hint="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95E0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合同签订后8个月内</w:t>
            </w:r>
          </w:p>
          <w:p w14:paraId="4020918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  <w:highlight w:val="none"/>
              </w:rPr>
              <w:t>交付进度</w:t>
            </w:r>
            <w:r>
              <w:rPr>
                <w:rFonts w:hint="eastAsia" w:ascii="宋体" w:hAnsi="宋体"/>
                <w:b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  <w:t>合同签订后</w:t>
            </w:r>
            <w:r>
              <w:rPr>
                <w:rFonts w:hint="eastAsia"/>
                <w:b w:val="0"/>
                <w:bCs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b w:val="0"/>
                <w:bCs/>
                <w:sz w:val="21"/>
                <w:szCs w:val="21"/>
                <w:highlight w:val="none"/>
              </w:rPr>
              <w:t>天</w:t>
            </w:r>
            <w:r>
              <w:rPr>
                <w:rFonts w:hint="eastAsia"/>
                <w:b w:val="0"/>
                <w:bCs/>
                <w:sz w:val="21"/>
                <w:szCs w:val="21"/>
                <w:highlight w:val="none"/>
              </w:rPr>
              <w:t>内</w:t>
            </w:r>
            <w:r>
              <w:rPr>
                <w:b w:val="0"/>
                <w:bCs/>
                <w:sz w:val="21"/>
                <w:szCs w:val="21"/>
                <w:highlight w:val="none"/>
              </w:rPr>
              <w:t>厂家完成全部工艺图纸，获得采购方认可后开始加工</w:t>
            </w:r>
            <w:r>
              <w:rPr>
                <w:rFonts w:hint="eastAsia"/>
                <w:b w:val="0"/>
                <w:bCs/>
                <w:sz w:val="21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/>
                <w:bCs/>
                <w:sz w:val="21"/>
                <w:szCs w:val="21"/>
                <w:highlight w:val="none"/>
              </w:rPr>
              <w:t>合同签订后</w:t>
            </w:r>
            <w:r>
              <w:rPr>
                <w:rFonts w:hint="eastAsia"/>
                <w:bCs/>
                <w:sz w:val="21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bCs/>
                <w:sz w:val="21"/>
                <w:szCs w:val="21"/>
                <w:highlight w:val="none"/>
              </w:rPr>
              <w:t>个月内完成全部</w:t>
            </w:r>
            <w:r>
              <w:rPr>
                <w:rFonts w:hint="eastAsia"/>
                <w:bCs/>
                <w:sz w:val="21"/>
                <w:szCs w:val="21"/>
                <w:highlight w:val="none"/>
                <w:lang w:val="en-US" w:eastAsia="zh-CN"/>
              </w:rPr>
              <w:t>屏蔽波纹管</w:t>
            </w:r>
            <w:r>
              <w:rPr>
                <w:rFonts w:hint="eastAsia"/>
                <w:bCs/>
                <w:sz w:val="21"/>
                <w:szCs w:val="21"/>
                <w:highlight w:val="none"/>
              </w:rPr>
              <w:t>的加工、出厂测试与交付。</w:t>
            </w:r>
          </w:p>
          <w:p w14:paraId="0A321BB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</w:p>
          <w:p w14:paraId="7E3CB59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（1）合同签订后，采购人向供应商支付合同总价的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0</w:t>
            </w:r>
            <w:r>
              <w:rPr>
                <w:rFonts w:ascii="宋体" w:hAnsi="宋体"/>
                <w:bCs/>
                <w:sz w:val="21"/>
                <w:szCs w:val="21"/>
              </w:rPr>
              <w:t>%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；</w:t>
            </w:r>
          </w:p>
          <w:p w14:paraId="3E5DB5F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（2）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全部交付且验收合格后，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采购人向供应商支付合同总价的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0</w:t>
            </w:r>
            <w:r>
              <w:rPr>
                <w:rFonts w:ascii="宋体" w:hAnsi="宋体"/>
                <w:bCs/>
                <w:sz w:val="21"/>
                <w:szCs w:val="21"/>
              </w:rPr>
              <w:t>%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。</w:t>
            </w:r>
          </w:p>
          <w:p w14:paraId="19B4815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验收指标及验收要求：</w:t>
            </w:r>
          </w:p>
          <w:p w14:paraId="5755BB9A">
            <w:pPr>
              <w:pStyle w:val="5"/>
              <w:numPr>
                <w:ilvl w:val="0"/>
                <w:numId w:val="2"/>
              </w:numPr>
              <w:tabs>
                <w:tab w:val="left" w:pos="6915"/>
              </w:tabs>
              <w:ind w:firstLineChars="0"/>
              <w:jc w:val="lef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出厂测试</w:t>
            </w:r>
          </w:p>
          <w:p w14:paraId="05BC43FD">
            <w:pPr>
              <w:ind w:firstLine="420" w:firstLineChars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供应商需完成机械尺寸、真空指标等测试并提供完备的测试报告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sz w:val="21"/>
                <w:szCs w:val="21"/>
              </w:rPr>
              <w:t>具体测试内容如下：</w:t>
            </w:r>
          </w:p>
          <w:p w14:paraId="2288F463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1) 外观检测：法兰刀口及密封面无划痕、损伤；外表面光滑、无毛刺、无损伤。</w:t>
            </w:r>
          </w:p>
          <w:p w14:paraId="7B144BA2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2) 机械检测：所有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加工部件</w:t>
            </w:r>
            <w:r>
              <w:rPr>
                <w:bCs/>
                <w:sz w:val="21"/>
                <w:szCs w:val="21"/>
              </w:rPr>
              <w:t>的尺寸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均需按照图纸标注</w:t>
            </w:r>
            <w:r>
              <w:rPr>
                <w:bCs/>
                <w:sz w:val="21"/>
                <w:szCs w:val="21"/>
              </w:rPr>
              <w:t>进行检测，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波纹管压缩量、伸长量、横向偏移量均需进行测试</w:t>
            </w:r>
            <w:r>
              <w:rPr>
                <w:bCs/>
                <w:sz w:val="21"/>
                <w:szCs w:val="21"/>
              </w:rPr>
              <w:t>。</w:t>
            </w:r>
          </w:p>
          <w:p w14:paraId="013FB4EE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3) 真空检测：</w:t>
            </w:r>
          </w:p>
          <w:p w14:paraId="54A6859A">
            <w:pPr>
              <w:numPr>
                <w:ilvl w:val="0"/>
                <w:numId w:val="3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所有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加工部件均需进行漏率检测</w:t>
            </w:r>
            <w:r>
              <w:rPr>
                <w:bCs/>
                <w:sz w:val="21"/>
                <w:szCs w:val="21"/>
              </w:rPr>
              <w:t>。</w:t>
            </w:r>
          </w:p>
          <w:p w14:paraId="162F528D">
            <w:pPr>
              <w:numPr>
                <w:ilvl w:val="0"/>
                <w:numId w:val="3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极限真空测试（抽检），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根据采购人需求进行极限真空测试</w:t>
            </w:r>
            <w:r>
              <w:rPr>
                <w:bCs/>
                <w:sz w:val="21"/>
                <w:szCs w:val="21"/>
              </w:rPr>
              <w:t>。</w:t>
            </w:r>
          </w:p>
          <w:p w14:paraId="4C9BA17E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4) 磁导率检测：所有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加工部件</w:t>
            </w:r>
            <w:r>
              <w:rPr>
                <w:bCs/>
                <w:sz w:val="21"/>
                <w:szCs w:val="21"/>
              </w:rPr>
              <w:t>均需进行磁导率测量。</w:t>
            </w:r>
          </w:p>
          <w:p w14:paraId="307EA631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5) 工艺文件检查：</w:t>
            </w:r>
          </w:p>
          <w:p w14:paraId="31E0A38A">
            <w:pPr>
              <w:numPr>
                <w:ilvl w:val="0"/>
                <w:numId w:val="3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上述</w:t>
            </w:r>
            <w:r>
              <w:rPr>
                <w:rFonts w:hint="eastAsia"/>
                <w:bCs/>
                <w:sz w:val="21"/>
                <w:szCs w:val="21"/>
              </w:rPr>
              <w:t>检测结果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需</w:t>
            </w:r>
            <w:r>
              <w:rPr>
                <w:rFonts w:hint="eastAsia"/>
                <w:bCs/>
                <w:sz w:val="21"/>
                <w:szCs w:val="21"/>
              </w:rPr>
              <w:t>形成出厂检测报告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。</w:t>
            </w:r>
          </w:p>
          <w:p w14:paraId="384204BC">
            <w:pPr>
              <w:numPr>
                <w:ilvl w:val="0"/>
                <w:numId w:val="3"/>
              </w:numPr>
              <w:tabs>
                <w:tab w:val="left" w:pos="6915"/>
              </w:tabs>
              <w:ind w:left="420" w:leftChars="0" w:hanging="420" w:firstLineChars="0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若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有测试结果</w:t>
            </w:r>
            <w:r>
              <w:rPr>
                <w:bCs/>
                <w:sz w:val="21"/>
                <w:szCs w:val="21"/>
              </w:rPr>
              <w:t>不</w:t>
            </w:r>
            <w:bookmarkStart w:id="1" w:name="_GoBack"/>
            <w:bookmarkEnd w:id="1"/>
            <w:r>
              <w:rPr>
                <w:bCs/>
                <w:sz w:val="21"/>
                <w:szCs w:val="21"/>
              </w:rPr>
              <w:t>合格，供应商需积极配合解决问题，若出现无法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解决</w:t>
            </w:r>
            <w:r>
              <w:rPr>
                <w:bCs/>
                <w:sz w:val="21"/>
                <w:szCs w:val="21"/>
              </w:rPr>
              <w:t>的情况，供应商需在合同执行期内免费补充加工同样数量的合格的产品。</w:t>
            </w:r>
          </w:p>
          <w:p w14:paraId="57BC775D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6) 出厂测试合格后，供应商负责将设备运至交货地点，设备运输和保险由供应商负责。</w:t>
            </w:r>
          </w:p>
          <w:p w14:paraId="52353058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2、现场验收</w:t>
            </w:r>
          </w:p>
          <w:p w14:paraId="6D36D77A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采购人根据国家相关标准规范、技术文件、技术要求和合同条款进行验收。验收交货时，供应商需提交原材料的材质证明、产品合格证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、</w:t>
            </w:r>
            <w:r>
              <w:rPr>
                <w:bCs/>
                <w:sz w:val="21"/>
                <w:szCs w:val="21"/>
              </w:rPr>
              <w:t>检验报告</w:t>
            </w:r>
            <w:r>
              <w:rPr>
                <w:rFonts w:hint="eastAsia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合格证、装箱单</w:t>
            </w:r>
            <w:r>
              <w:rPr>
                <w:bCs/>
                <w:sz w:val="21"/>
                <w:szCs w:val="21"/>
              </w:rPr>
              <w:t>等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>工艺文件</w:t>
            </w:r>
            <w:r>
              <w:rPr>
                <w:bCs/>
                <w:sz w:val="21"/>
                <w:szCs w:val="21"/>
              </w:rPr>
              <w:t>。</w:t>
            </w:r>
          </w:p>
          <w:p w14:paraId="4431090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保修</w:t>
            </w:r>
            <w:r>
              <w:rPr>
                <w:rFonts w:ascii="宋体" w:hAnsi="宋体"/>
                <w:b/>
                <w:sz w:val="21"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质保期为验收合格后不少于1年。起始时间以全部设备通过最终验收之日起开始计算。在保修期内，非采购人原因引起的设备故障，供应商负责免费维修和免费更换零部件。供应商应于接到采购人维修通知后24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329A09"/>
    <w:multiLevelType w:val="singleLevel"/>
    <w:tmpl w:val="80329A0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7FA576A"/>
    <w:multiLevelType w:val="singleLevel"/>
    <w:tmpl w:val="37FA576A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6186217D"/>
    <w:multiLevelType w:val="multilevel"/>
    <w:tmpl w:val="6186217D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14B475B"/>
    <w:rsid w:val="12E879B8"/>
    <w:rsid w:val="188A1CA6"/>
    <w:rsid w:val="38C84348"/>
    <w:rsid w:val="390B6B1D"/>
    <w:rsid w:val="424D68E3"/>
    <w:rsid w:val="4B3473DA"/>
    <w:rsid w:val="60854C98"/>
    <w:rsid w:val="667E6061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665</Words>
  <Characters>708</Characters>
  <Lines>0</Lines>
  <Paragraphs>0</Paragraphs>
  <TotalTime>0</TotalTime>
  <ScaleCrop>false</ScaleCrop>
  <LinksUpToDate>false</LinksUpToDate>
  <CharactersWithSpaces>714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2026-10-16T09:51:03Z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21473D65091647E6ACDABE2E58C9ECFC_13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