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F42D7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71ADF21F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50584A57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20C66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3E29496F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467D466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0B99A1E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78A9372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529022B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744AE6C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6C24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705" w:type="dxa"/>
            <w:vAlign w:val="center"/>
          </w:tcPr>
          <w:p w14:paraId="6B5478E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7432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 w:val="24"/>
                <w:szCs w:val="24"/>
              </w:rPr>
              <w:t>集成式高压高精度直流电源</w:t>
            </w:r>
            <w:r>
              <w:rPr>
                <w:rFonts w:hint="eastAsia" w:asciiTheme="minorEastAsia" w:hAnsiTheme="minorEastAsia" w:eastAsiaTheme="minorEastAsia"/>
                <w:bCs/>
                <w:sz w:val="24"/>
                <w:szCs w:val="24"/>
              </w:rPr>
              <w:br w:type="textWrapping"/>
            </w:r>
          </w:p>
        </w:tc>
        <w:tc>
          <w:tcPr>
            <w:tcW w:w="5322" w:type="dxa"/>
            <w:vAlign w:val="center"/>
          </w:tcPr>
          <w:p w14:paraId="473780A1">
            <w:pPr>
              <w:tabs>
                <w:tab w:val="left" w:pos="6915"/>
              </w:tabs>
              <w:ind w:firstLine="480" w:firstLineChars="200"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该电源是一套集成式多通道高频高压脉冲电源控制平台，</w:t>
            </w:r>
            <w:r>
              <w:rPr>
                <w:rFonts w:ascii="宋体" w:hAnsi="宋体" w:eastAsia="宋体" w:cs="宋体"/>
                <w:bCs/>
                <w:sz w:val="24"/>
                <w:szCs w:val="24"/>
              </w:rPr>
              <w:t>采用模块化架构设计，将高频双极性脉冲电源、高压直流电源、中低压精密电源及主控单元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等功能单元</w:t>
            </w:r>
            <w:r>
              <w:rPr>
                <w:rFonts w:ascii="宋体" w:hAnsi="宋体" w:eastAsia="宋体" w:cs="宋体"/>
                <w:bCs/>
                <w:sz w:val="24"/>
                <w:szCs w:val="24"/>
              </w:rPr>
              <w:t>集成于统一框架内。系统通过隔离RS485总线实现各功能单元与上位机的全数字化通信，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要求在同一套上位机控制软件界面上实现参数设置及实时状态监控。</w:t>
            </w:r>
          </w:p>
          <w:p w14:paraId="1008B37E">
            <w:pPr>
              <w:tabs>
                <w:tab w:val="left" w:pos="6915"/>
              </w:tabs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具体参数如下：</w:t>
            </w:r>
          </w:p>
          <w:p w14:paraId="3AAD6EF2">
            <w:pPr>
              <w:widowControl/>
              <w:numPr>
                <w:ilvl w:val="0"/>
                <w:numId w:val="1"/>
              </w:numPr>
              <w:ind w:left="454" w:hanging="454" w:firstLineChars="0"/>
              <w:jc w:val="both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高频双极性脉冲电源控制单元：</w:t>
            </w:r>
          </w:p>
          <w:p w14:paraId="021FFDE4">
            <w:pPr>
              <w:widowControl/>
              <w:tabs>
                <w:tab w:val="left" w:pos="420"/>
              </w:tabs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正脉冲：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0~+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00VDC；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负脉冲：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0~-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00VDC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；负脉冲偏置电压范围0-100V；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，支持正脉冲、负脉冲及偏置电压的独立编程输出</w:t>
            </w:r>
          </w:p>
          <w:p w14:paraId="336BCABB">
            <w:pPr>
              <w:widowControl/>
              <w:tabs>
                <w:tab w:val="left" w:pos="420"/>
              </w:tabs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高压脉冲频率：最大3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0KHz；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高压脉冲脉宽：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200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ns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~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μ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s；脉冲延迟范围：0-3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μ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s</w:t>
            </w:r>
          </w:p>
          <w:p w14:paraId="38E551B5">
            <w:pPr>
              <w:widowControl/>
              <w:tabs>
                <w:tab w:val="left" w:pos="420"/>
              </w:tabs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脉冲宽度调节：最小步进1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ns；脉冲上升沿宽度：≤30ns （不含线缆）；稳定性：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10ppm/h；</w:t>
            </w:r>
          </w:p>
          <w:p w14:paraId="5DC06B7C">
            <w:pPr>
              <w:widowControl/>
              <w:tabs>
                <w:tab w:val="left" w:pos="420"/>
              </w:tabs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最大耐受电流：10mA</w:t>
            </w:r>
          </w:p>
          <w:p w14:paraId="1882DEB3">
            <w:pPr>
              <w:widowControl/>
              <w:tabs>
                <w:tab w:val="left" w:pos="420"/>
              </w:tabs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隔离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RS485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电路通信，脉冲触发与信号采集同步，接口为BNC接头</w:t>
            </w:r>
          </w:p>
          <w:p w14:paraId="2DE3E160">
            <w:pPr>
              <w:widowControl/>
              <w:numPr>
                <w:ilvl w:val="0"/>
                <w:numId w:val="1"/>
              </w:numPr>
              <w:ind w:left="454" w:hanging="454" w:firstLineChars="0"/>
              <w:jc w:val="both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高压电源控制单元：</w:t>
            </w:r>
          </w:p>
          <w:p w14:paraId="051DE2E5">
            <w:pPr>
              <w:widowControl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提供15路独立高压直流输出通道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，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每通道配备独立的DC-DC升压变换器与闭环反馈控制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，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具备过压、过流及短路保护功能</w:t>
            </w:r>
          </w:p>
          <w:p w14:paraId="25DFE1CE">
            <w:pPr>
              <w:widowControl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输出电压范围：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8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路为0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~±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000V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，4路为0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~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-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000V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，2路为0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~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-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000V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，1路为0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~1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000V</w:t>
            </w:r>
          </w:p>
          <w:p w14:paraId="2BC888F2">
            <w:pPr>
              <w:widowControl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控制给定精度：＜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0.1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％；反馈采集精度：＜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0.1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％；稳定性：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10ppm/h；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最大耐受电流：1mA</w:t>
            </w:r>
          </w:p>
          <w:p w14:paraId="199BD026">
            <w:pPr>
              <w:widowControl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隔离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RS485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电路通信，接口为SHV接头</w:t>
            </w:r>
          </w:p>
          <w:p w14:paraId="0389D388">
            <w:pPr>
              <w:widowControl/>
              <w:numPr>
                <w:ilvl w:val="0"/>
                <w:numId w:val="1"/>
              </w:numPr>
              <w:ind w:left="454" w:hanging="454" w:firstLineChars="0"/>
              <w:jc w:val="both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bookmarkStart w:id="0" w:name="OLE_LINK15"/>
            <w:bookmarkStart w:id="1" w:name="OLE_LINK16"/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中低压电源控制单元：</w:t>
            </w:r>
            <w:bookmarkEnd w:id="0"/>
            <w:bookmarkEnd w:id="1"/>
          </w:p>
          <w:p w14:paraId="3E02A3D4">
            <w:pPr>
              <w:widowControl/>
              <w:jc w:val="both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提供6路精密中低压直流输出及1路独立接地通道</w:t>
            </w:r>
          </w:p>
          <w:p w14:paraId="3B26BA99">
            <w:pPr>
              <w:widowControl/>
              <w:jc w:val="both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输出电压范围： -200V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~+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2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 xml:space="preserve">00VDC </w:t>
            </w:r>
          </w:p>
          <w:p w14:paraId="6300C518">
            <w:pPr>
              <w:widowControl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输出电压设定准确度：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±1V；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输出电压测量准确度：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±1V；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纹波噪声：≤0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.01%</w:t>
            </w:r>
          </w:p>
          <w:p w14:paraId="7562F9E9">
            <w:pPr>
              <w:widowControl/>
              <w:rPr>
                <w:rFonts w:ascii="Times New Roman" w:hAnsi="Times New Roman" w:eastAsia="宋体" w:cs="Times New Roman"/>
                <w:sz w:val="24"/>
                <w:szCs w:val="24"/>
              </w:rPr>
            </w:pPr>
            <w:bookmarkStart w:id="2" w:name="OLE_LINK14"/>
            <w:bookmarkStart w:id="3" w:name="OLE_LINK13"/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稳定性：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10ppm/h；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最大耐受电流：1mA；</w:t>
            </w:r>
            <w:bookmarkEnd w:id="2"/>
            <w:bookmarkEnd w:id="3"/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隔离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RS485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电路通信，接口为DB9同类接头</w:t>
            </w:r>
          </w:p>
          <w:p w14:paraId="44688F08">
            <w:pPr>
              <w:widowControl/>
              <w:numPr>
                <w:ilvl w:val="0"/>
                <w:numId w:val="1"/>
              </w:numPr>
              <w:ind w:left="454" w:hanging="454" w:firstLineChars="0"/>
              <w:jc w:val="both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主控单元与上位机软件</w:t>
            </w:r>
          </w:p>
          <w:p w14:paraId="3F6ACB9C">
            <w:pPr>
              <w:widowControl/>
              <w:jc w:val="both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主控单元作为系统核心控制器，集成高性能嵌入式处理器，通过多路隔离RS485总线并行管理所有电源功能单元</w:t>
            </w:r>
          </w:p>
          <w:p w14:paraId="52B86278">
            <w:pPr>
              <w:widowControl/>
              <w:jc w:val="both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上位机控制软件采用模块化设计，提供统一的图形化操作界面，支持所有通道的参数集中配置、实时监控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及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状态报警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；</w:t>
            </w:r>
          </w:p>
          <w:p w14:paraId="45F6C962">
            <w:pPr>
              <w:widowControl/>
              <w:jc w:val="both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软件预留标准API接口与通信协议，可扩展控制高分辨质谱真空系统及外部数据采集系统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，支持扩展远程网络控制及状态监控</w:t>
            </w:r>
            <w:bookmarkStart w:id="4" w:name="_GoBack"/>
            <w:bookmarkEnd w:id="4"/>
          </w:p>
        </w:tc>
        <w:tc>
          <w:tcPr>
            <w:tcW w:w="1201" w:type="dxa"/>
            <w:vAlign w:val="center"/>
          </w:tcPr>
          <w:p w14:paraId="3494B2B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AB5E24F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1B7F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</w:trPr>
        <w:tc>
          <w:tcPr>
            <w:tcW w:w="705" w:type="dxa"/>
            <w:vAlign w:val="center"/>
          </w:tcPr>
          <w:p w14:paraId="1FB5921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7ED25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FE9BF">
            <w:p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交货期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合同签订</w:t>
            </w:r>
            <w:r>
              <w:rPr>
                <w:rFonts w:ascii="宋体" w:hAnsi="宋体"/>
                <w:b w:val="0"/>
                <w:bCs/>
                <w:sz w:val="24"/>
                <w:szCs w:val="24"/>
              </w:rPr>
              <w:t>后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3个月内</w:t>
            </w:r>
            <w:r>
              <w:rPr>
                <w:rFonts w:ascii="宋体" w:hAnsi="宋体"/>
                <w:b w:val="0"/>
                <w:bCs/>
                <w:sz w:val="24"/>
                <w:szCs w:val="24"/>
              </w:rPr>
              <w:t>。</w:t>
            </w:r>
          </w:p>
          <w:p w14:paraId="231CF855">
            <w:p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交付进度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ascii="宋体" w:hAnsi="宋体"/>
                <w:b w:val="0"/>
                <w:bCs/>
                <w:sz w:val="24"/>
                <w:szCs w:val="24"/>
              </w:rPr>
              <w:t>一次性交付。</w:t>
            </w:r>
          </w:p>
          <w:p w14:paraId="475A5B3B">
            <w:p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付款方式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合同签订后50%预付，货到支付尾款</w:t>
            </w:r>
          </w:p>
          <w:p w14:paraId="25554F0A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验收指标及验收要求：</w:t>
            </w:r>
          </w:p>
          <w:p w14:paraId="7A2F7A80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1、厂家提供参数测试报告；2、厂家提供软件操作手册。</w:t>
            </w:r>
          </w:p>
          <w:p w14:paraId="137405F8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保修</w:t>
            </w:r>
            <w:r>
              <w:rPr>
                <w:rFonts w:ascii="宋体" w:hAnsi="宋体"/>
                <w:b/>
                <w:bCs w:val="0"/>
                <w:sz w:val="24"/>
                <w:szCs w:val="24"/>
              </w:rPr>
              <w:t>及售后服务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12个月质保期</w:t>
            </w:r>
          </w:p>
        </w:tc>
        <w:tc>
          <w:tcPr>
            <w:tcW w:w="1201" w:type="dxa"/>
            <w:vAlign w:val="center"/>
          </w:tcPr>
          <w:p w14:paraId="5D3E4FB5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43744E8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47969C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</w:p>
    <w:p w14:paraId="2A9518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</w:p>
    <w:p w14:paraId="00BC0982">
      <w:pPr>
        <w:wordWrap w:val="0"/>
        <w:ind w:right="840"/>
        <w:jc w:val="right"/>
        <w:rPr>
          <w:rFonts w:hint="default" w:eastAsiaTheme="minorEastAsia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  <w:r>
        <w:rPr>
          <w:rFonts w:hint="eastAsia"/>
          <w:sz w:val="24"/>
          <w:szCs w:val="24"/>
        </w:rPr>
        <w:br w:type="textWrapping"/>
      </w: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8EA6E89"/>
    <w:multiLevelType w:val="multilevel"/>
    <w:tmpl w:val="78EA6E89"/>
    <w:lvl w:ilvl="0" w:tentative="0">
      <w:start w:val="1"/>
      <w:numFmt w:val="decimal"/>
      <w:lvlText w:val="%1、"/>
      <w:lvlJc w:val="left"/>
      <w:pPr>
        <w:ind w:left="454" w:hanging="454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F6C24"/>
    <w:rsid w:val="04EF6C24"/>
    <w:rsid w:val="0FAA3CAE"/>
    <w:rsid w:val="2D8C5ECA"/>
    <w:rsid w:val="38C84348"/>
    <w:rsid w:val="60854C98"/>
    <w:rsid w:val="7DDE6C50"/>
    <w:rsid w:val="7EF2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884</Words>
  <Characters>1040</Characters>
  <Lines>0</Lines>
  <Paragraphs>0</Paragraphs>
  <TotalTime>0</TotalTime>
  <ScaleCrop>false</ScaleCrop>
  <LinksUpToDate>false</LinksUpToDate>
  <CharactersWithSpaces>1049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2026-07-17T08:11:00Z</dcterms:created>
  <dc:creator>DELL</dc:creator>
  <cp:lastModifiedBy>王小宇</cp:lastModifiedBy>
  <dcterms:modified xsi:type="dcterms:W3CDTF">2026-09-22T08:05:08Z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FA02D1188064499AB5900A70E93ED8D6_13</vt:lpwstr>
  </property>
  <property fmtid="{D5CDD505-2E9C-101B-9397-08002B2CF9AE}" pid="4" name="KSOTemplateDocerSaveRecord">
    <vt:lpwstr>eyJoZGlkIjoiN2RmNGQ2MDc0ZGFiNmIyNjNmMmJiNzcxMzg1OWQzY2YiLCJ1c2VySWQiOiIxNzkyMjQ5NTEzIn0=</vt:lpwstr>
  </property>
</Properties>
</file>