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10120"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249"/>
        <w:gridCol w:w="5991"/>
        <w:gridCol w:w="1403"/>
        <w:gridCol w:w="1041"/>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436" w:type="dxa"/>
            <w:vAlign w:val="center"/>
          </w:tcPr>
          <w:p w14:paraId="75C250BA">
            <w:pPr>
              <w:spacing w:line="240" w:lineRule="atLeast"/>
              <w:jc w:val="center"/>
              <w:rPr>
                <w:sz w:val="22"/>
              </w:rPr>
            </w:pPr>
            <w:r>
              <w:rPr>
                <w:rFonts w:hint="eastAsia"/>
                <w:sz w:val="22"/>
              </w:rPr>
              <w:t>序号</w:t>
            </w:r>
          </w:p>
        </w:tc>
        <w:tc>
          <w:tcPr>
            <w:tcW w:w="1249" w:type="dxa"/>
            <w:vAlign w:val="center"/>
          </w:tcPr>
          <w:p w14:paraId="3A9FF52B">
            <w:pPr>
              <w:spacing w:line="240" w:lineRule="atLeast"/>
              <w:jc w:val="center"/>
              <w:rPr>
                <w:sz w:val="22"/>
              </w:rPr>
            </w:pPr>
            <w:r>
              <w:rPr>
                <w:rFonts w:hint="eastAsia"/>
                <w:sz w:val="22"/>
              </w:rPr>
              <w:t>名称</w:t>
            </w:r>
          </w:p>
        </w:tc>
        <w:tc>
          <w:tcPr>
            <w:tcW w:w="5991" w:type="dxa"/>
            <w:vAlign w:val="center"/>
          </w:tcPr>
          <w:p w14:paraId="258D475E">
            <w:pPr>
              <w:spacing w:line="240" w:lineRule="atLeast"/>
              <w:jc w:val="center"/>
              <w:rPr>
                <w:sz w:val="22"/>
              </w:rPr>
            </w:pPr>
            <w:r>
              <w:rPr>
                <w:rFonts w:hint="eastAsia"/>
                <w:sz w:val="22"/>
              </w:rPr>
              <w:t>技术指标</w:t>
            </w:r>
          </w:p>
        </w:tc>
        <w:tc>
          <w:tcPr>
            <w:tcW w:w="1403"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1041"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36" w:type="dxa"/>
            <w:vAlign w:val="center"/>
          </w:tcPr>
          <w:p w14:paraId="185CA09D">
            <w:pPr>
              <w:spacing w:line="240" w:lineRule="atLeast"/>
              <w:jc w:val="center"/>
            </w:pPr>
            <w:r>
              <w:rPr>
                <w:rFonts w:hint="eastAsia"/>
              </w:rPr>
              <w:t>1</w:t>
            </w:r>
          </w:p>
        </w:tc>
        <w:tc>
          <w:tcPr>
            <w:tcW w:w="1249" w:type="dxa"/>
            <w:tcBorders>
              <w:bottom w:val="single" w:color="auto" w:sz="4" w:space="0"/>
            </w:tcBorders>
            <w:shd w:val="clear" w:color="auto" w:fill="auto"/>
            <w:vAlign w:val="center"/>
          </w:tcPr>
          <w:p w14:paraId="7E88FD24">
            <w:pPr>
              <w:widowControl/>
              <w:spacing w:line="240" w:lineRule="atLeast"/>
              <w:jc w:val="center"/>
              <w:rPr>
                <w:rFonts w:ascii="Times New Roman" w:hAnsi="Times New Roman" w:eastAsia="宋体" w:cs="Times New Roman"/>
                <w:szCs w:val="24"/>
              </w:rPr>
            </w:pPr>
            <w:r>
              <w:rPr>
                <w:rFonts w:hint="eastAsia" w:ascii="Times New Roman" w:hAnsi="Times New Roman" w:eastAsia="宋体" w:cs="Times New Roman"/>
                <w:b w:val="0"/>
                <w:bCs w:val="0"/>
                <w:sz w:val="24"/>
                <w:szCs w:val="24"/>
              </w:rPr>
              <w:t>加热膜贴制服务</w:t>
            </w:r>
          </w:p>
        </w:tc>
        <w:tc>
          <w:tcPr>
            <w:tcW w:w="5991" w:type="dxa"/>
            <w:tcBorders>
              <w:bottom w:val="single" w:color="auto" w:sz="4" w:space="0"/>
            </w:tcBorders>
            <w:shd w:val="clear" w:color="auto" w:fill="auto"/>
            <w:vAlign w:val="center"/>
          </w:tcPr>
          <w:p w14:paraId="1B445337">
            <w:pPr>
              <w:tabs>
                <w:tab w:val="left" w:pos="6915"/>
              </w:tabs>
              <w:ind w:firstLine="480" w:firstLineChars="200"/>
              <w:jc w:val="left"/>
              <w:rPr>
                <w:rFonts w:hint="eastAsia" w:ascii="宋体" w:hAnsi="宋体" w:cs="宋体"/>
                <w:bCs/>
                <w:sz w:val="24"/>
              </w:rPr>
            </w:pPr>
            <w:r>
              <w:rPr>
                <w:rFonts w:hint="eastAsia" w:ascii="宋体" w:hAnsi="宋体" w:cs="宋体"/>
                <w:bCs/>
                <w:sz w:val="24"/>
              </w:rPr>
              <w:t>在HALF储存环真空系统中，穿越二极磁铁的不锈钢真空室所处空间紧凑，需要通过在其表面贴制加热膜的方式，以实现真空室的烘烤。本次采购的加热膜贴制服务主要是对穿越二极磁铁的不锈钢真空室开展专业贴膜服务，以及提供相关耗材，相关要求如下：</w:t>
            </w:r>
          </w:p>
          <w:p w14:paraId="23D76BA8">
            <w:pPr>
              <w:pStyle w:val="11"/>
              <w:tabs>
                <w:tab w:val="left" w:pos="6915"/>
                <w:tab w:val="clear" w:pos="1428"/>
              </w:tabs>
              <w:ind w:firstLine="0" w:firstLineChars="0"/>
              <w:jc w:val="left"/>
              <w:rPr>
                <w:rFonts w:hint="eastAsia" w:ascii="宋体" w:hAnsi="宋体" w:cs="宋体"/>
                <w:bCs/>
                <w:sz w:val="24"/>
              </w:rPr>
            </w:pPr>
            <w:r>
              <w:rPr>
                <w:rFonts w:hint="eastAsia" w:ascii="宋体" w:hAnsi="宋体" w:cs="宋体"/>
                <w:bCs/>
                <w:sz w:val="24"/>
              </w:rPr>
              <w:t>1、贴膜服务：为不锈钢真空室提供加热膜专业贴合、装配及调试服务，具体数量详见下表。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
              <w:gridCol w:w="2541"/>
              <w:gridCol w:w="2540"/>
            </w:tblGrid>
            <w:tr w14:paraId="2F4C9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518" w:type="dxa"/>
                  <w:vAlign w:val="center"/>
                </w:tcPr>
                <w:p w14:paraId="6461D067">
                  <w:pPr>
                    <w:spacing w:before="93" w:beforeLines="30" w:after="93" w:afterLines="30" w:line="360" w:lineRule="auto"/>
                    <w:jc w:val="center"/>
                    <w:rPr>
                      <w:bCs/>
                      <w:sz w:val="18"/>
                      <w:szCs w:val="18"/>
                    </w:rPr>
                  </w:pPr>
                  <w:r>
                    <w:rPr>
                      <w:rFonts w:hint="eastAsia"/>
                      <w:bCs/>
                      <w:sz w:val="18"/>
                      <w:szCs w:val="18"/>
                    </w:rPr>
                    <w:t>序</w:t>
                  </w:r>
                  <w:bookmarkStart w:id="1" w:name="_GoBack"/>
                  <w:bookmarkEnd w:id="1"/>
                  <w:r>
                    <w:rPr>
                      <w:rFonts w:hint="eastAsia"/>
                      <w:bCs/>
                      <w:sz w:val="18"/>
                      <w:szCs w:val="18"/>
                    </w:rPr>
                    <w:t>号</w:t>
                  </w:r>
                </w:p>
              </w:tc>
              <w:tc>
                <w:tcPr>
                  <w:tcW w:w="2541" w:type="dxa"/>
                  <w:vAlign w:val="center"/>
                </w:tcPr>
                <w:p w14:paraId="1784F8BB">
                  <w:pPr>
                    <w:spacing w:before="93" w:beforeLines="30" w:after="93" w:afterLines="30" w:line="360" w:lineRule="auto"/>
                    <w:jc w:val="center"/>
                    <w:rPr>
                      <w:bCs/>
                      <w:sz w:val="18"/>
                      <w:szCs w:val="18"/>
                    </w:rPr>
                  </w:pPr>
                  <w:r>
                    <w:rPr>
                      <w:rFonts w:hint="eastAsia"/>
                      <w:bCs/>
                      <w:sz w:val="18"/>
                      <w:szCs w:val="18"/>
                    </w:rPr>
                    <w:t>真空室名称</w:t>
                  </w:r>
                </w:p>
              </w:tc>
              <w:tc>
                <w:tcPr>
                  <w:tcW w:w="2540" w:type="dxa"/>
                  <w:vAlign w:val="center"/>
                </w:tcPr>
                <w:p w14:paraId="6346D454">
                  <w:pPr>
                    <w:spacing w:before="93" w:beforeLines="30" w:after="93" w:afterLines="30" w:line="360" w:lineRule="auto"/>
                    <w:jc w:val="center"/>
                    <w:rPr>
                      <w:bCs/>
                      <w:sz w:val="18"/>
                      <w:szCs w:val="18"/>
                    </w:rPr>
                  </w:pPr>
                  <w:r>
                    <w:rPr>
                      <w:rFonts w:hint="eastAsia"/>
                      <w:bCs/>
                      <w:sz w:val="18"/>
                      <w:szCs w:val="18"/>
                    </w:rPr>
                    <w:t>数量</w:t>
                  </w:r>
                </w:p>
              </w:tc>
            </w:tr>
            <w:tr w14:paraId="4DA72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8" w:type="dxa"/>
                  <w:vAlign w:val="center"/>
                </w:tcPr>
                <w:p w14:paraId="281A9F0E">
                  <w:pPr>
                    <w:spacing w:before="93" w:beforeLines="30" w:after="93" w:afterLines="30" w:line="360" w:lineRule="auto"/>
                    <w:jc w:val="center"/>
                    <w:rPr>
                      <w:bCs/>
                      <w:sz w:val="18"/>
                      <w:szCs w:val="18"/>
                    </w:rPr>
                  </w:pPr>
                  <w:r>
                    <w:rPr>
                      <w:rFonts w:hint="eastAsia"/>
                      <w:bCs/>
                      <w:sz w:val="18"/>
                      <w:szCs w:val="18"/>
                    </w:rPr>
                    <w:t>1</w:t>
                  </w:r>
                </w:p>
              </w:tc>
              <w:tc>
                <w:tcPr>
                  <w:tcW w:w="2541" w:type="dxa"/>
                  <w:vAlign w:val="center"/>
                </w:tcPr>
                <w:p w14:paraId="20549290">
                  <w:pPr>
                    <w:spacing w:before="93" w:beforeLines="30" w:after="93" w:afterLines="30" w:line="360" w:lineRule="auto"/>
                    <w:jc w:val="center"/>
                    <w:rPr>
                      <w:bCs/>
                      <w:sz w:val="18"/>
                      <w:szCs w:val="18"/>
                    </w:rPr>
                  </w:pPr>
                  <w:r>
                    <w:rPr>
                      <w:bCs/>
                      <w:sz w:val="18"/>
                      <w:szCs w:val="18"/>
                    </w:rPr>
                    <w:t>弧区变截面真空室RCn-VC02A</w:t>
                  </w:r>
                  <w:r>
                    <w:rPr>
                      <w:rFonts w:hint="eastAsia"/>
                      <w:bCs/>
                      <w:sz w:val="18"/>
                      <w:szCs w:val="18"/>
                    </w:rPr>
                    <w:t>/B</w:t>
                  </w:r>
                </w:p>
              </w:tc>
              <w:tc>
                <w:tcPr>
                  <w:tcW w:w="2540" w:type="dxa"/>
                  <w:vAlign w:val="center"/>
                </w:tcPr>
                <w:p w14:paraId="678753CF">
                  <w:pPr>
                    <w:spacing w:before="93" w:beforeLines="30" w:after="93" w:afterLines="30" w:line="360" w:lineRule="auto"/>
                    <w:jc w:val="center"/>
                    <w:rPr>
                      <w:bCs/>
                      <w:sz w:val="18"/>
                      <w:szCs w:val="18"/>
                    </w:rPr>
                  </w:pPr>
                  <w:r>
                    <w:rPr>
                      <w:bCs/>
                      <w:sz w:val="18"/>
                      <w:szCs w:val="18"/>
                    </w:rPr>
                    <w:t>2</w:t>
                  </w:r>
                  <w:r>
                    <w:rPr>
                      <w:rFonts w:hint="eastAsia"/>
                      <w:bCs/>
                      <w:sz w:val="18"/>
                      <w:szCs w:val="18"/>
                    </w:rPr>
                    <w:t>2</w:t>
                  </w:r>
                </w:p>
              </w:tc>
            </w:tr>
            <w:tr w14:paraId="19C81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8" w:type="dxa"/>
                  <w:vAlign w:val="center"/>
                </w:tcPr>
                <w:p w14:paraId="1F991187">
                  <w:pPr>
                    <w:spacing w:before="93" w:beforeLines="30" w:after="93" w:afterLines="30" w:line="360" w:lineRule="auto"/>
                    <w:jc w:val="center"/>
                    <w:rPr>
                      <w:bCs/>
                      <w:sz w:val="18"/>
                      <w:szCs w:val="18"/>
                    </w:rPr>
                  </w:pPr>
                  <w:r>
                    <w:rPr>
                      <w:rFonts w:hint="eastAsia"/>
                      <w:bCs/>
                      <w:sz w:val="18"/>
                      <w:szCs w:val="18"/>
                    </w:rPr>
                    <w:t>2</w:t>
                  </w:r>
                </w:p>
              </w:tc>
              <w:tc>
                <w:tcPr>
                  <w:tcW w:w="2541" w:type="dxa"/>
                  <w:vAlign w:val="center"/>
                </w:tcPr>
                <w:p w14:paraId="4E421A05">
                  <w:pPr>
                    <w:spacing w:before="93" w:beforeLines="30" w:after="93" w:afterLines="30" w:line="360" w:lineRule="auto"/>
                    <w:jc w:val="center"/>
                    <w:rPr>
                      <w:bCs/>
                      <w:sz w:val="18"/>
                      <w:szCs w:val="18"/>
                    </w:rPr>
                  </w:pPr>
                  <w:r>
                    <w:rPr>
                      <w:bCs/>
                      <w:sz w:val="18"/>
                      <w:szCs w:val="18"/>
                    </w:rPr>
                    <w:t>弧区变截面真空室RCn-VC07</w:t>
                  </w:r>
                </w:p>
              </w:tc>
              <w:tc>
                <w:tcPr>
                  <w:tcW w:w="2540" w:type="dxa"/>
                  <w:vAlign w:val="center"/>
                </w:tcPr>
                <w:p w14:paraId="58ED1193">
                  <w:pPr>
                    <w:spacing w:before="93" w:beforeLines="30" w:after="93" w:afterLines="30" w:line="360" w:lineRule="auto"/>
                    <w:jc w:val="center"/>
                    <w:rPr>
                      <w:bCs/>
                      <w:sz w:val="18"/>
                      <w:szCs w:val="18"/>
                    </w:rPr>
                  </w:pPr>
                  <w:r>
                    <w:rPr>
                      <w:bCs/>
                      <w:sz w:val="18"/>
                      <w:szCs w:val="18"/>
                    </w:rPr>
                    <w:t>2</w:t>
                  </w:r>
                  <w:r>
                    <w:rPr>
                      <w:rFonts w:hint="eastAsia"/>
                      <w:bCs/>
                      <w:sz w:val="18"/>
                      <w:szCs w:val="18"/>
                    </w:rPr>
                    <w:t>1</w:t>
                  </w:r>
                </w:p>
              </w:tc>
            </w:tr>
            <w:tr w14:paraId="311DC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8" w:type="dxa"/>
                  <w:vAlign w:val="center"/>
                </w:tcPr>
                <w:p w14:paraId="2BA06925">
                  <w:pPr>
                    <w:spacing w:before="93" w:beforeLines="30" w:after="93" w:afterLines="30" w:line="360" w:lineRule="auto"/>
                    <w:jc w:val="center"/>
                    <w:rPr>
                      <w:bCs/>
                      <w:sz w:val="18"/>
                      <w:szCs w:val="18"/>
                    </w:rPr>
                  </w:pPr>
                  <w:r>
                    <w:rPr>
                      <w:rFonts w:hint="eastAsia"/>
                      <w:bCs/>
                      <w:sz w:val="18"/>
                      <w:szCs w:val="18"/>
                    </w:rPr>
                    <w:t>3</w:t>
                  </w:r>
                </w:p>
              </w:tc>
              <w:tc>
                <w:tcPr>
                  <w:tcW w:w="2541" w:type="dxa"/>
                  <w:vAlign w:val="center"/>
                </w:tcPr>
                <w:p w14:paraId="43EE75E6">
                  <w:pPr>
                    <w:spacing w:before="93" w:beforeLines="30" w:after="93" w:afterLines="30" w:line="360" w:lineRule="auto"/>
                    <w:jc w:val="center"/>
                    <w:rPr>
                      <w:bCs/>
                      <w:sz w:val="18"/>
                      <w:szCs w:val="18"/>
                    </w:rPr>
                  </w:pPr>
                  <w:r>
                    <w:rPr>
                      <w:bCs/>
                      <w:sz w:val="18"/>
                      <w:szCs w:val="18"/>
                    </w:rPr>
                    <w:t>弧区变截面真空室RCn-VC13</w:t>
                  </w:r>
                </w:p>
              </w:tc>
              <w:tc>
                <w:tcPr>
                  <w:tcW w:w="2540" w:type="dxa"/>
                  <w:vAlign w:val="center"/>
                </w:tcPr>
                <w:p w14:paraId="2E2DE102">
                  <w:pPr>
                    <w:spacing w:before="93" w:beforeLines="30" w:after="93" w:afterLines="30" w:line="360" w:lineRule="auto"/>
                    <w:jc w:val="center"/>
                    <w:rPr>
                      <w:bCs/>
                      <w:sz w:val="18"/>
                      <w:szCs w:val="18"/>
                    </w:rPr>
                  </w:pPr>
                  <w:r>
                    <w:rPr>
                      <w:bCs/>
                      <w:sz w:val="18"/>
                      <w:szCs w:val="18"/>
                    </w:rPr>
                    <w:t>2</w:t>
                  </w:r>
                  <w:r>
                    <w:rPr>
                      <w:rFonts w:hint="eastAsia"/>
                      <w:bCs/>
                      <w:sz w:val="18"/>
                      <w:szCs w:val="18"/>
                    </w:rPr>
                    <w:t>1</w:t>
                  </w:r>
                </w:p>
              </w:tc>
            </w:tr>
            <w:tr w14:paraId="0FD4D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518" w:type="dxa"/>
                  <w:vAlign w:val="center"/>
                </w:tcPr>
                <w:p w14:paraId="5E20F7DA">
                  <w:pPr>
                    <w:spacing w:before="93" w:beforeLines="30" w:after="93" w:afterLines="30" w:line="360" w:lineRule="auto"/>
                    <w:jc w:val="center"/>
                    <w:rPr>
                      <w:bCs/>
                      <w:sz w:val="18"/>
                      <w:szCs w:val="18"/>
                    </w:rPr>
                  </w:pPr>
                  <w:r>
                    <w:rPr>
                      <w:rFonts w:hint="eastAsia"/>
                      <w:bCs/>
                      <w:sz w:val="18"/>
                      <w:szCs w:val="18"/>
                    </w:rPr>
                    <w:t>4</w:t>
                  </w:r>
                </w:p>
              </w:tc>
              <w:tc>
                <w:tcPr>
                  <w:tcW w:w="2541" w:type="dxa"/>
                  <w:vAlign w:val="center"/>
                </w:tcPr>
                <w:p w14:paraId="31D1571D">
                  <w:pPr>
                    <w:spacing w:before="93" w:beforeLines="30" w:after="93" w:afterLines="30" w:line="360" w:lineRule="auto"/>
                    <w:jc w:val="center"/>
                    <w:rPr>
                      <w:bCs/>
                      <w:sz w:val="18"/>
                      <w:szCs w:val="18"/>
                    </w:rPr>
                  </w:pPr>
                  <w:r>
                    <w:rPr>
                      <w:bCs/>
                      <w:sz w:val="18"/>
                      <w:szCs w:val="18"/>
                    </w:rPr>
                    <w:t>弧区变截面真空室RCn-VC16A</w:t>
                  </w:r>
                  <w:r>
                    <w:rPr>
                      <w:rFonts w:hint="eastAsia"/>
                      <w:bCs/>
                      <w:sz w:val="18"/>
                      <w:szCs w:val="18"/>
                    </w:rPr>
                    <w:t>/B</w:t>
                  </w:r>
                </w:p>
              </w:tc>
              <w:tc>
                <w:tcPr>
                  <w:tcW w:w="2540" w:type="dxa"/>
                  <w:vAlign w:val="center"/>
                </w:tcPr>
                <w:p w14:paraId="4707C31C">
                  <w:pPr>
                    <w:spacing w:before="93" w:beforeLines="30" w:after="93" w:afterLines="30" w:line="360" w:lineRule="auto"/>
                    <w:jc w:val="center"/>
                    <w:rPr>
                      <w:bCs/>
                      <w:sz w:val="18"/>
                      <w:szCs w:val="18"/>
                    </w:rPr>
                  </w:pPr>
                  <w:r>
                    <w:rPr>
                      <w:bCs/>
                      <w:sz w:val="18"/>
                      <w:szCs w:val="18"/>
                    </w:rPr>
                    <w:t>2</w:t>
                  </w:r>
                  <w:r>
                    <w:rPr>
                      <w:rFonts w:hint="eastAsia"/>
                      <w:bCs/>
                      <w:sz w:val="18"/>
                      <w:szCs w:val="18"/>
                    </w:rPr>
                    <w:t>2</w:t>
                  </w:r>
                </w:p>
              </w:tc>
            </w:tr>
          </w:tbl>
          <w:p w14:paraId="54FD63A9">
            <w:pPr>
              <w:tabs>
                <w:tab w:val="left" w:pos="6915"/>
              </w:tabs>
              <w:jc w:val="left"/>
              <w:rPr>
                <w:rFonts w:hint="eastAsia" w:ascii="宋体" w:hAnsi="宋体" w:cs="宋体"/>
                <w:bCs/>
                <w:sz w:val="24"/>
              </w:rPr>
            </w:pPr>
            <w:r>
              <w:rPr>
                <w:rFonts w:hint="eastAsia" w:ascii="宋体" w:hAnsi="宋体" w:cs="宋体"/>
                <w:bCs/>
                <w:sz w:val="24"/>
              </w:rPr>
              <w:t>贴膜服务主要性能要求：</w:t>
            </w:r>
          </w:p>
          <w:p w14:paraId="5F4A0C18">
            <w:pPr>
              <w:tabs>
                <w:tab w:val="left" w:pos="6915"/>
              </w:tabs>
              <w:ind w:firstLine="480" w:firstLineChars="200"/>
              <w:rPr>
                <w:rFonts w:hint="eastAsia" w:ascii="宋体" w:hAnsi="宋体" w:cs="宋体"/>
                <w:bCs/>
                <w:sz w:val="24"/>
              </w:rPr>
            </w:pPr>
            <w:r>
              <w:rPr>
                <w:rFonts w:hint="eastAsia" w:ascii="宋体" w:hAnsi="宋体" w:cs="宋体"/>
                <w:bCs/>
                <w:sz w:val="24"/>
              </w:rPr>
              <w:t>真空室加热膜贴合平整，无鼓包、脱落现象；贴附加热膜的厚度≤</w:t>
            </w:r>
            <w:r>
              <w:rPr>
                <w:rFonts w:ascii="宋体" w:hAnsi="宋体" w:cs="宋体"/>
                <w:bCs/>
                <w:sz w:val="24"/>
              </w:rPr>
              <w:t>0.6 mm</w:t>
            </w:r>
            <w:r>
              <w:rPr>
                <w:rFonts w:hint="eastAsia" w:ascii="宋体" w:hAnsi="宋体" w:cs="宋体"/>
                <w:bCs/>
                <w:sz w:val="24"/>
              </w:rPr>
              <w:t>（含加热膜厚度≤</w:t>
            </w:r>
            <w:r>
              <w:rPr>
                <w:rFonts w:ascii="宋体" w:hAnsi="宋体" w:cs="宋体"/>
                <w:bCs/>
                <w:sz w:val="24"/>
              </w:rPr>
              <w:t>0.4 mm</w:t>
            </w:r>
            <w:r>
              <w:rPr>
                <w:rFonts w:hint="eastAsia" w:ascii="宋体" w:hAnsi="宋体" w:cs="宋体"/>
                <w:bCs/>
                <w:sz w:val="24"/>
              </w:rPr>
              <w:t>）；测量贴膜前后薄膜的绝缘、电阻值的性能参数，性能参数保证不变；加热膜贴合后能够完成真空室的烘烤工作；烘烤过程中薄膜无脱落，温度均匀，烘烤温度不小于</w:t>
            </w:r>
            <w:r>
              <w:rPr>
                <w:rFonts w:ascii="宋体" w:hAnsi="宋体" w:cs="宋体"/>
                <w:bCs/>
                <w:sz w:val="24"/>
              </w:rPr>
              <w:t>200</w:t>
            </w:r>
            <w:r>
              <w:rPr>
                <w:rFonts w:hint="eastAsia" w:ascii="宋体" w:hAnsi="宋体" w:cs="宋体"/>
                <w:bCs/>
                <w:sz w:val="24"/>
              </w:rPr>
              <w:t>℃。</w:t>
            </w:r>
          </w:p>
          <w:p w14:paraId="055A929F">
            <w:pPr>
              <w:tabs>
                <w:tab w:val="left" w:pos="6915"/>
              </w:tabs>
              <w:jc w:val="left"/>
              <w:rPr>
                <w:rFonts w:hint="eastAsia" w:ascii="宋体" w:hAnsi="宋体" w:cs="宋体"/>
                <w:bCs/>
                <w:sz w:val="24"/>
              </w:rPr>
            </w:pPr>
            <w:r>
              <w:rPr>
                <w:rFonts w:hint="eastAsia" w:ascii="宋体" w:hAnsi="宋体" w:cs="宋体"/>
                <w:bCs/>
                <w:sz w:val="24"/>
              </w:rPr>
              <w:t>2、耗材：在贴膜过程中需要的相关耗材及工具的配套，用量需充分满足20个CELL真空室的激活安装、调试需求，保障真空室顺利完成烘烤激活。耗材及工具的具体配套如下：</w:t>
            </w:r>
          </w:p>
          <w:tbl>
            <w:tblPr>
              <w:tblStyle w:val="5"/>
              <w:tblW w:w="5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985"/>
              <w:gridCol w:w="2773"/>
              <w:gridCol w:w="538"/>
              <w:gridCol w:w="574"/>
            </w:tblGrid>
            <w:tr w14:paraId="162AB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567" w:type="dxa"/>
                </w:tcPr>
                <w:p w14:paraId="06FFF388">
                  <w:pPr>
                    <w:jc w:val="center"/>
                    <w:rPr>
                      <w:color w:val="000000"/>
                      <w:sz w:val="18"/>
                      <w:szCs w:val="18"/>
                    </w:rPr>
                  </w:pPr>
                  <w:r>
                    <w:rPr>
                      <w:rFonts w:hint="eastAsia"/>
                      <w:color w:val="000000"/>
                      <w:sz w:val="18"/>
                      <w:szCs w:val="18"/>
                    </w:rPr>
                    <w:t>序号</w:t>
                  </w:r>
                </w:p>
              </w:tc>
              <w:tc>
                <w:tcPr>
                  <w:tcW w:w="985" w:type="dxa"/>
                  <w:tcBorders>
                    <w:top w:val="single" w:color="auto" w:sz="4" w:space="0"/>
                    <w:left w:val="single" w:color="auto" w:sz="4" w:space="0"/>
                    <w:bottom w:val="single" w:color="auto" w:sz="4" w:space="0"/>
                    <w:right w:val="single" w:color="auto" w:sz="4" w:space="0"/>
                  </w:tcBorders>
                </w:tcPr>
                <w:p w14:paraId="7DB0DE0B">
                  <w:pPr>
                    <w:jc w:val="center"/>
                    <w:rPr>
                      <w:color w:val="000000"/>
                      <w:sz w:val="18"/>
                      <w:szCs w:val="18"/>
                    </w:rPr>
                  </w:pPr>
                  <w:r>
                    <w:rPr>
                      <w:rFonts w:hint="eastAsia"/>
                      <w:color w:val="000000"/>
                      <w:sz w:val="18"/>
                      <w:szCs w:val="18"/>
                    </w:rPr>
                    <w:t>产品名称</w:t>
                  </w:r>
                </w:p>
              </w:tc>
              <w:tc>
                <w:tcPr>
                  <w:tcW w:w="2773" w:type="dxa"/>
                  <w:tcBorders>
                    <w:top w:val="single" w:color="auto" w:sz="4" w:space="0"/>
                    <w:left w:val="single" w:color="auto" w:sz="4" w:space="0"/>
                    <w:bottom w:val="single" w:color="auto" w:sz="4" w:space="0"/>
                    <w:right w:val="single" w:color="auto" w:sz="4" w:space="0"/>
                  </w:tcBorders>
                  <w:vAlign w:val="center"/>
                </w:tcPr>
                <w:p w14:paraId="0920D547">
                  <w:pPr>
                    <w:jc w:val="center"/>
                    <w:rPr>
                      <w:color w:val="000000"/>
                      <w:sz w:val="18"/>
                      <w:szCs w:val="18"/>
                    </w:rPr>
                  </w:pPr>
                  <w:r>
                    <w:rPr>
                      <w:rFonts w:hint="eastAsia"/>
                      <w:color w:val="000000"/>
                      <w:sz w:val="18"/>
                      <w:szCs w:val="18"/>
                    </w:rPr>
                    <w:t>规格要求</w:t>
                  </w:r>
                </w:p>
              </w:tc>
              <w:tc>
                <w:tcPr>
                  <w:tcW w:w="538" w:type="dxa"/>
                </w:tcPr>
                <w:p w14:paraId="0EBA2245">
                  <w:pPr>
                    <w:jc w:val="center"/>
                    <w:rPr>
                      <w:color w:val="000000"/>
                      <w:sz w:val="18"/>
                      <w:szCs w:val="18"/>
                    </w:rPr>
                  </w:pPr>
                  <w:r>
                    <w:rPr>
                      <w:rFonts w:hint="eastAsia"/>
                      <w:color w:val="000000"/>
                      <w:sz w:val="18"/>
                      <w:szCs w:val="18"/>
                    </w:rPr>
                    <w:t>单位</w:t>
                  </w:r>
                </w:p>
              </w:tc>
              <w:tc>
                <w:tcPr>
                  <w:tcW w:w="574" w:type="dxa"/>
                </w:tcPr>
                <w:p w14:paraId="0914427D">
                  <w:pPr>
                    <w:jc w:val="center"/>
                    <w:rPr>
                      <w:color w:val="000000"/>
                      <w:sz w:val="18"/>
                      <w:szCs w:val="18"/>
                    </w:rPr>
                  </w:pPr>
                  <w:r>
                    <w:rPr>
                      <w:rFonts w:hint="eastAsia"/>
                      <w:color w:val="000000"/>
                      <w:sz w:val="18"/>
                      <w:szCs w:val="18"/>
                    </w:rPr>
                    <w:t>数量</w:t>
                  </w:r>
                </w:p>
              </w:tc>
            </w:tr>
            <w:tr w14:paraId="459DA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567" w:type="dxa"/>
                </w:tcPr>
                <w:p w14:paraId="58CC3E2A">
                  <w:pPr>
                    <w:jc w:val="center"/>
                    <w:rPr>
                      <w:color w:val="000000"/>
                      <w:sz w:val="18"/>
                      <w:szCs w:val="18"/>
                    </w:rPr>
                  </w:pPr>
                  <w:r>
                    <w:rPr>
                      <w:rFonts w:hint="eastAsia"/>
                      <w:color w:val="000000"/>
                      <w:sz w:val="18"/>
                      <w:szCs w:val="18"/>
                    </w:rPr>
                    <w:t>1</w:t>
                  </w:r>
                </w:p>
              </w:tc>
              <w:tc>
                <w:tcPr>
                  <w:tcW w:w="985" w:type="dxa"/>
                  <w:tcBorders>
                    <w:top w:val="single" w:color="auto" w:sz="4" w:space="0"/>
                    <w:left w:val="single" w:color="auto" w:sz="4" w:space="0"/>
                    <w:bottom w:val="single" w:color="auto" w:sz="4" w:space="0"/>
                    <w:right w:val="single" w:color="auto" w:sz="4" w:space="0"/>
                  </w:tcBorders>
                </w:tcPr>
                <w:p w14:paraId="69BFB3A7">
                  <w:pPr>
                    <w:jc w:val="center"/>
                    <w:rPr>
                      <w:color w:val="000000"/>
                      <w:sz w:val="18"/>
                      <w:szCs w:val="18"/>
                    </w:rPr>
                  </w:pPr>
                  <w:r>
                    <w:rPr>
                      <w:rFonts w:hint="eastAsia"/>
                      <w:color w:val="000000"/>
                      <w:sz w:val="18"/>
                      <w:szCs w:val="18"/>
                    </w:rPr>
                    <w:t>手套</w:t>
                  </w:r>
                </w:p>
              </w:tc>
              <w:tc>
                <w:tcPr>
                  <w:tcW w:w="2773" w:type="dxa"/>
                  <w:tcBorders>
                    <w:top w:val="single" w:color="auto" w:sz="4" w:space="0"/>
                    <w:left w:val="single" w:color="auto" w:sz="4" w:space="0"/>
                    <w:bottom w:val="single" w:color="auto" w:sz="4" w:space="0"/>
                    <w:right w:val="single" w:color="auto" w:sz="4" w:space="0"/>
                  </w:tcBorders>
                  <w:vAlign w:val="center"/>
                </w:tcPr>
                <w:p w14:paraId="106B848F">
                  <w:pPr>
                    <w:rPr>
                      <w:color w:val="000000"/>
                      <w:sz w:val="18"/>
                      <w:szCs w:val="18"/>
                    </w:rPr>
                  </w:pPr>
                  <w:r>
                    <w:rPr>
                      <w:rFonts w:hint="eastAsia"/>
                      <w:color w:val="000000"/>
                      <w:sz w:val="18"/>
                      <w:szCs w:val="18"/>
                    </w:rPr>
                    <w:t>一次性丁腈手套</w:t>
                  </w:r>
                </w:p>
              </w:tc>
              <w:tc>
                <w:tcPr>
                  <w:tcW w:w="538" w:type="dxa"/>
                </w:tcPr>
                <w:p w14:paraId="483144B8">
                  <w:pPr>
                    <w:jc w:val="center"/>
                    <w:rPr>
                      <w:color w:val="000000"/>
                      <w:sz w:val="18"/>
                      <w:szCs w:val="18"/>
                    </w:rPr>
                  </w:pPr>
                  <w:r>
                    <w:rPr>
                      <w:rFonts w:hint="eastAsia"/>
                      <w:color w:val="000000"/>
                      <w:sz w:val="18"/>
                      <w:szCs w:val="18"/>
                    </w:rPr>
                    <w:t>包</w:t>
                  </w:r>
                </w:p>
              </w:tc>
              <w:tc>
                <w:tcPr>
                  <w:tcW w:w="574" w:type="dxa"/>
                </w:tcPr>
                <w:p w14:paraId="6213BFBB">
                  <w:pPr>
                    <w:jc w:val="center"/>
                    <w:rPr>
                      <w:color w:val="000000"/>
                      <w:sz w:val="18"/>
                      <w:szCs w:val="18"/>
                    </w:rPr>
                  </w:pPr>
                  <w:r>
                    <w:rPr>
                      <w:rFonts w:hint="eastAsia"/>
                      <w:color w:val="000000"/>
                      <w:sz w:val="18"/>
                      <w:szCs w:val="18"/>
                    </w:rPr>
                    <w:t>50</w:t>
                  </w:r>
                </w:p>
              </w:tc>
            </w:tr>
            <w:tr w14:paraId="33F50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567" w:type="dxa"/>
                </w:tcPr>
                <w:p w14:paraId="47A09E68">
                  <w:pPr>
                    <w:jc w:val="center"/>
                    <w:rPr>
                      <w:color w:val="000000"/>
                      <w:sz w:val="18"/>
                      <w:szCs w:val="18"/>
                    </w:rPr>
                  </w:pPr>
                  <w:bookmarkStart w:id="0" w:name="_Hlk219817076"/>
                  <w:r>
                    <w:rPr>
                      <w:rFonts w:hint="eastAsia"/>
                      <w:color w:val="000000"/>
                      <w:sz w:val="18"/>
                      <w:szCs w:val="18"/>
                    </w:rPr>
                    <w:t>2</w:t>
                  </w:r>
                </w:p>
              </w:tc>
              <w:tc>
                <w:tcPr>
                  <w:tcW w:w="985" w:type="dxa"/>
                  <w:tcBorders>
                    <w:top w:val="single" w:color="auto" w:sz="4" w:space="0"/>
                    <w:left w:val="single" w:color="auto" w:sz="4" w:space="0"/>
                    <w:bottom w:val="single" w:color="auto" w:sz="4" w:space="0"/>
                    <w:right w:val="single" w:color="auto" w:sz="4" w:space="0"/>
                  </w:tcBorders>
                </w:tcPr>
                <w:p w14:paraId="7D38E962">
                  <w:pPr>
                    <w:jc w:val="center"/>
                    <w:rPr>
                      <w:color w:val="000000"/>
                      <w:sz w:val="18"/>
                      <w:szCs w:val="18"/>
                    </w:rPr>
                  </w:pPr>
                  <w:r>
                    <w:rPr>
                      <w:rFonts w:hint="eastAsia"/>
                      <w:color w:val="000000"/>
                      <w:sz w:val="18"/>
                      <w:szCs w:val="18"/>
                    </w:rPr>
                    <w:t>铝箔</w:t>
                  </w:r>
                </w:p>
              </w:tc>
              <w:tc>
                <w:tcPr>
                  <w:tcW w:w="2773" w:type="dxa"/>
                  <w:tcBorders>
                    <w:top w:val="single" w:color="auto" w:sz="4" w:space="0"/>
                    <w:left w:val="single" w:color="auto" w:sz="4" w:space="0"/>
                    <w:bottom w:val="single" w:color="auto" w:sz="4" w:space="0"/>
                    <w:right w:val="single" w:color="auto" w:sz="4" w:space="0"/>
                  </w:tcBorders>
                  <w:vAlign w:val="center"/>
                </w:tcPr>
                <w:p w14:paraId="1BD82E32">
                  <w:pPr>
                    <w:rPr>
                      <w:color w:val="000000"/>
                      <w:sz w:val="18"/>
                      <w:szCs w:val="18"/>
                    </w:rPr>
                  </w:pPr>
                  <w:r>
                    <w:rPr>
                      <w:rFonts w:hint="eastAsia"/>
                      <w:color w:val="000000"/>
                      <w:sz w:val="18"/>
                      <w:szCs w:val="18"/>
                    </w:rPr>
                    <w:t>软态铝箔，厚度0.025 mm，宽度1米，长度50米</w:t>
                  </w:r>
                </w:p>
              </w:tc>
              <w:tc>
                <w:tcPr>
                  <w:tcW w:w="538" w:type="dxa"/>
                </w:tcPr>
                <w:p w14:paraId="4105FF2A">
                  <w:pPr>
                    <w:jc w:val="center"/>
                    <w:rPr>
                      <w:color w:val="000000"/>
                      <w:sz w:val="18"/>
                      <w:szCs w:val="18"/>
                    </w:rPr>
                  </w:pPr>
                  <w:r>
                    <w:rPr>
                      <w:rFonts w:hint="eastAsia"/>
                      <w:color w:val="000000"/>
                      <w:sz w:val="18"/>
                      <w:szCs w:val="18"/>
                    </w:rPr>
                    <w:t>卷</w:t>
                  </w:r>
                </w:p>
              </w:tc>
              <w:tc>
                <w:tcPr>
                  <w:tcW w:w="574" w:type="dxa"/>
                </w:tcPr>
                <w:p w14:paraId="387481BD">
                  <w:pPr>
                    <w:jc w:val="center"/>
                    <w:rPr>
                      <w:color w:val="000000"/>
                      <w:sz w:val="18"/>
                      <w:szCs w:val="18"/>
                    </w:rPr>
                  </w:pPr>
                  <w:r>
                    <w:rPr>
                      <w:rFonts w:hint="eastAsia"/>
                      <w:color w:val="000000"/>
                      <w:sz w:val="18"/>
                      <w:szCs w:val="18"/>
                    </w:rPr>
                    <w:t>10</w:t>
                  </w:r>
                </w:p>
              </w:tc>
            </w:tr>
            <w:bookmarkEnd w:id="0"/>
            <w:tr w14:paraId="2E6E3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567" w:type="dxa"/>
                </w:tcPr>
                <w:p w14:paraId="6E296758">
                  <w:pPr>
                    <w:jc w:val="center"/>
                    <w:rPr>
                      <w:color w:val="000000"/>
                      <w:sz w:val="18"/>
                      <w:szCs w:val="18"/>
                    </w:rPr>
                  </w:pPr>
                  <w:r>
                    <w:rPr>
                      <w:rFonts w:hint="eastAsia"/>
                      <w:color w:val="000000"/>
                      <w:sz w:val="18"/>
                      <w:szCs w:val="18"/>
                    </w:rPr>
                    <w:t>3</w:t>
                  </w:r>
                </w:p>
              </w:tc>
              <w:tc>
                <w:tcPr>
                  <w:tcW w:w="985" w:type="dxa"/>
                  <w:tcBorders>
                    <w:top w:val="single" w:color="auto" w:sz="4" w:space="0"/>
                    <w:left w:val="single" w:color="auto" w:sz="4" w:space="0"/>
                    <w:bottom w:val="single" w:color="auto" w:sz="4" w:space="0"/>
                    <w:right w:val="single" w:color="auto" w:sz="4" w:space="0"/>
                  </w:tcBorders>
                </w:tcPr>
                <w:p w14:paraId="26FA84C4">
                  <w:pPr>
                    <w:jc w:val="center"/>
                    <w:rPr>
                      <w:color w:val="000000"/>
                      <w:sz w:val="18"/>
                      <w:szCs w:val="18"/>
                    </w:rPr>
                  </w:pPr>
                  <w:r>
                    <w:rPr>
                      <w:rFonts w:hint="eastAsia"/>
                      <w:color w:val="000000"/>
                      <w:sz w:val="18"/>
                      <w:szCs w:val="18"/>
                    </w:rPr>
                    <w:t>扎带</w:t>
                  </w:r>
                </w:p>
              </w:tc>
              <w:tc>
                <w:tcPr>
                  <w:tcW w:w="2773" w:type="dxa"/>
                  <w:tcBorders>
                    <w:top w:val="single" w:color="auto" w:sz="4" w:space="0"/>
                    <w:left w:val="single" w:color="auto" w:sz="4" w:space="0"/>
                    <w:bottom w:val="single" w:color="auto" w:sz="4" w:space="0"/>
                    <w:right w:val="single" w:color="auto" w:sz="4" w:space="0"/>
                  </w:tcBorders>
                  <w:vAlign w:val="center"/>
                </w:tcPr>
                <w:p w14:paraId="7E7BF873">
                  <w:pPr>
                    <w:rPr>
                      <w:color w:val="000000"/>
                      <w:sz w:val="18"/>
                      <w:szCs w:val="18"/>
                    </w:rPr>
                  </w:pPr>
                  <w:r>
                    <w:rPr>
                      <w:rFonts w:hint="eastAsia"/>
                      <w:color w:val="000000"/>
                      <w:sz w:val="18"/>
                      <w:szCs w:val="18"/>
                    </w:rPr>
                    <w:t>自锁式尼龙扎带，4*200 mm，100根</w:t>
                  </w:r>
                </w:p>
              </w:tc>
              <w:tc>
                <w:tcPr>
                  <w:tcW w:w="538" w:type="dxa"/>
                </w:tcPr>
                <w:p w14:paraId="2B89E88E">
                  <w:pPr>
                    <w:jc w:val="center"/>
                    <w:rPr>
                      <w:color w:val="000000"/>
                      <w:sz w:val="18"/>
                      <w:szCs w:val="18"/>
                    </w:rPr>
                  </w:pPr>
                  <w:r>
                    <w:rPr>
                      <w:rFonts w:hint="eastAsia"/>
                      <w:color w:val="000000"/>
                      <w:sz w:val="18"/>
                      <w:szCs w:val="18"/>
                    </w:rPr>
                    <w:t>包</w:t>
                  </w:r>
                </w:p>
              </w:tc>
              <w:tc>
                <w:tcPr>
                  <w:tcW w:w="574" w:type="dxa"/>
                </w:tcPr>
                <w:p w14:paraId="70DD15F0">
                  <w:pPr>
                    <w:jc w:val="center"/>
                    <w:rPr>
                      <w:color w:val="000000"/>
                      <w:sz w:val="18"/>
                      <w:szCs w:val="18"/>
                    </w:rPr>
                  </w:pPr>
                  <w:r>
                    <w:rPr>
                      <w:rFonts w:hint="eastAsia"/>
                      <w:color w:val="000000"/>
                      <w:sz w:val="18"/>
                      <w:szCs w:val="18"/>
                    </w:rPr>
                    <w:t>20</w:t>
                  </w:r>
                </w:p>
              </w:tc>
            </w:tr>
            <w:tr w14:paraId="3353C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567" w:type="dxa"/>
                </w:tcPr>
                <w:p w14:paraId="28E31C95">
                  <w:pPr>
                    <w:jc w:val="center"/>
                    <w:rPr>
                      <w:color w:val="000000"/>
                      <w:sz w:val="18"/>
                      <w:szCs w:val="18"/>
                    </w:rPr>
                  </w:pPr>
                  <w:r>
                    <w:rPr>
                      <w:rFonts w:hint="eastAsia"/>
                      <w:color w:val="000000"/>
                      <w:sz w:val="18"/>
                      <w:szCs w:val="18"/>
                    </w:rPr>
                    <w:t>4</w:t>
                  </w:r>
                </w:p>
              </w:tc>
              <w:tc>
                <w:tcPr>
                  <w:tcW w:w="985" w:type="dxa"/>
                  <w:tcBorders>
                    <w:top w:val="single" w:color="auto" w:sz="4" w:space="0"/>
                    <w:left w:val="single" w:color="auto" w:sz="4" w:space="0"/>
                    <w:bottom w:val="single" w:color="auto" w:sz="4" w:space="0"/>
                    <w:right w:val="single" w:color="auto" w:sz="4" w:space="0"/>
                  </w:tcBorders>
                </w:tcPr>
                <w:p w14:paraId="7CADBE66">
                  <w:pPr>
                    <w:jc w:val="center"/>
                    <w:rPr>
                      <w:color w:val="000000"/>
                      <w:sz w:val="18"/>
                      <w:szCs w:val="18"/>
                    </w:rPr>
                  </w:pPr>
                  <w:r>
                    <w:rPr>
                      <w:rFonts w:hint="eastAsia"/>
                      <w:color w:val="000000"/>
                      <w:sz w:val="18"/>
                      <w:szCs w:val="18"/>
                    </w:rPr>
                    <w:t>耐高温胶带</w:t>
                  </w:r>
                </w:p>
              </w:tc>
              <w:tc>
                <w:tcPr>
                  <w:tcW w:w="2773" w:type="dxa"/>
                  <w:tcBorders>
                    <w:top w:val="single" w:color="auto" w:sz="4" w:space="0"/>
                    <w:left w:val="single" w:color="auto" w:sz="4" w:space="0"/>
                    <w:bottom w:val="single" w:color="auto" w:sz="4" w:space="0"/>
                    <w:right w:val="single" w:color="auto" w:sz="4" w:space="0"/>
                  </w:tcBorders>
                  <w:vAlign w:val="center"/>
                </w:tcPr>
                <w:p w14:paraId="3F43ABC0">
                  <w:pPr>
                    <w:rPr>
                      <w:color w:val="000000"/>
                      <w:sz w:val="18"/>
                      <w:szCs w:val="18"/>
                    </w:rPr>
                  </w:pPr>
                  <w:r>
                    <w:rPr>
                      <w:rFonts w:hint="eastAsia"/>
                      <w:sz w:val="18"/>
                      <w:szCs w:val="18"/>
                    </w:rPr>
                    <w:t>耐高温300</w:t>
                  </w:r>
                  <w:r>
                    <w:rPr>
                      <w:sz w:val="18"/>
                      <w:szCs w:val="18"/>
                    </w:rPr>
                    <w:t xml:space="preserve"> ℃</w:t>
                  </w:r>
                  <w:r>
                    <w:rPr>
                      <w:rFonts w:hint="eastAsia"/>
                      <w:sz w:val="18"/>
                      <w:szCs w:val="18"/>
                    </w:rPr>
                    <w:t>，宽度40-50 mm，长度10米</w:t>
                  </w:r>
                </w:p>
              </w:tc>
              <w:tc>
                <w:tcPr>
                  <w:tcW w:w="538" w:type="dxa"/>
                </w:tcPr>
                <w:p w14:paraId="1AFEBA0E">
                  <w:pPr>
                    <w:jc w:val="center"/>
                    <w:rPr>
                      <w:color w:val="000000"/>
                      <w:sz w:val="18"/>
                      <w:szCs w:val="18"/>
                    </w:rPr>
                  </w:pPr>
                  <w:r>
                    <w:rPr>
                      <w:rFonts w:hint="eastAsia"/>
                      <w:color w:val="000000"/>
                      <w:sz w:val="18"/>
                      <w:szCs w:val="18"/>
                    </w:rPr>
                    <w:t>卷</w:t>
                  </w:r>
                </w:p>
              </w:tc>
              <w:tc>
                <w:tcPr>
                  <w:tcW w:w="574" w:type="dxa"/>
                </w:tcPr>
                <w:p w14:paraId="4D4738C4">
                  <w:pPr>
                    <w:jc w:val="center"/>
                    <w:rPr>
                      <w:color w:val="000000"/>
                      <w:sz w:val="18"/>
                      <w:szCs w:val="18"/>
                    </w:rPr>
                  </w:pPr>
                  <w:r>
                    <w:rPr>
                      <w:rFonts w:hint="eastAsia"/>
                      <w:color w:val="000000"/>
                      <w:sz w:val="18"/>
                      <w:szCs w:val="18"/>
                    </w:rPr>
                    <w:t>20</w:t>
                  </w:r>
                </w:p>
              </w:tc>
            </w:tr>
            <w:tr w14:paraId="7968B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567" w:type="dxa"/>
                </w:tcPr>
                <w:p w14:paraId="0D4F8A8C">
                  <w:pPr>
                    <w:jc w:val="center"/>
                    <w:rPr>
                      <w:color w:val="000000"/>
                      <w:sz w:val="18"/>
                      <w:szCs w:val="18"/>
                    </w:rPr>
                  </w:pPr>
                  <w:r>
                    <w:rPr>
                      <w:rFonts w:hint="eastAsia"/>
                      <w:color w:val="000000"/>
                      <w:sz w:val="18"/>
                      <w:szCs w:val="18"/>
                    </w:rPr>
                    <w:t>5</w:t>
                  </w:r>
                </w:p>
              </w:tc>
              <w:tc>
                <w:tcPr>
                  <w:tcW w:w="985" w:type="dxa"/>
                  <w:tcBorders>
                    <w:top w:val="single" w:color="auto" w:sz="4" w:space="0"/>
                    <w:left w:val="single" w:color="auto" w:sz="4" w:space="0"/>
                    <w:bottom w:val="single" w:color="auto" w:sz="4" w:space="0"/>
                    <w:right w:val="single" w:color="auto" w:sz="4" w:space="0"/>
                  </w:tcBorders>
                </w:tcPr>
                <w:p w14:paraId="3F82E085">
                  <w:pPr>
                    <w:jc w:val="center"/>
                    <w:rPr>
                      <w:color w:val="000000"/>
                      <w:sz w:val="18"/>
                      <w:szCs w:val="18"/>
                    </w:rPr>
                  </w:pPr>
                  <w:r>
                    <w:rPr>
                      <w:rFonts w:hint="eastAsia"/>
                      <w:color w:val="000000"/>
                      <w:sz w:val="18"/>
                      <w:szCs w:val="18"/>
                    </w:rPr>
                    <w:t>2插头延长线</w:t>
                  </w:r>
                </w:p>
              </w:tc>
              <w:tc>
                <w:tcPr>
                  <w:tcW w:w="2773" w:type="dxa"/>
                  <w:tcBorders>
                    <w:top w:val="single" w:color="auto" w:sz="4" w:space="0"/>
                    <w:left w:val="single" w:color="auto" w:sz="4" w:space="0"/>
                    <w:bottom w:val="single" w:color="auto" w:sz="4" w:space="0"/>
                    <w:right w:val="single" w:color="auto" w:sz="4" w:space="0"/>
                  </w:tcBorders>
                  <w:vAlign w:val="center"/>
                </w:tcPr>
                <w:p w14:paraId="1AEC28FB">
                  <w:pPr>
                    <w:rPr>
                      <w:sz w:val="18"/>
                      <w:szCs w:val="18"/>
                    </w:rPr>
                  </w:pPr>
                  <w:r>
                    <w:rPr>
                      <w:rFonts w:hint="eastAsia"/>
                      <w:sz w:val="18"/>
                      <w:szCs w:val="18"/>
                    </w:rPr>
                    <w:t>1米，2.5 kW，白色</w:t>
                  </w:r>
                </w:p>
              </w:tc>
              <w:tc>
                <w:tcPr>
                  <w:tcW w:w="538" w:type="dxa"/>
                </w:tcPr>
                <w:p w14:paraId="70ECF6C7">
                  <w:pPr>
                    <w:jc w:val="center"/>
                    <w:rPr>
                      <w:color w:val="000000"/>
                      <w:sz w:val="18"/>
                      <w:szCs w:val="18"/>
                    </w:rPr>
                  </w:pPr>
                  <w:r>
                    <w:rPr>
                      <w:rFonts w:hint="eastAsia"/>
                      <w:color w:val="000000"/>
                      <w:sz w:val="18"/>
                      <w:szCs w:val="18"/>
                    </w:rPr>
                    <w:t>根</w:t>
                  </w:r>
                </w:p>
              </w:tc>
              <w:tc>
                <w:tcPr>
                  <w:tcW w:w="574" w:type="dxa"/>
                </w:tcPr>
                <w:p w14:paraId="4DC42914">
                  <w:pPr>
                    <w:jc w:val="center"/>
                    <w:rPr>
                      <w:color w:val="000000"/>
                      <w:sz w:val="18"/>
                      <w:szCs w:val="18"/>
                    </w:rPr>
                  </w:pPr>
                  <w:r>
                    <w:rPr>
                      <w:rFonts w:hint="eastAsia"/>
                      <w:color w:val="000000"/>
                      <w:sz w:val="18"/>
                      <w:szCs w:val="18"/>
                    </w:rPr>
                    <w:t>100</w:t>
                  </w:r>
                </w:p>
              </w:tc>
            </w:tr>
            <w:tr w14:paraId="06014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567" w:type="dxa"/>
                </w:tcPr>
                <w:p w14:paraId="162482DB">
                  <w:pPr>
                    <w:jc w:val="center"/>
                    <w:rPr>
                      <w:color w:val="000000"/>
                      <w:sz w:val="18"/>
                      <w:szCs w:val="18"/>
                    </w:rPr>
                  </w:pPr>
                  <w:r>
                    <w:rPr>
                      <w:rFonts w:hint="eastAsia"/>
                      <w:color w:val="000000"/>
                      <w:sz w:val="18"/>
                      <w:szCs w:val="18"/>
                    </w:rPr>
                    <w:t>6</w:t>
                  </w:r>
                </w:p>
              </w:tc>
              <w:tc>
                <w:tcPr>
                  <w:tcW w:w="985" w:type="dxa"/>
                  <w:tcBorders>
                    <w:top w:val="single" w:color="auto" w:sz="4" w:space="0"/>
                    <w:left w:val="single" w:color="auto" w:sz="4" w:space="0"/>
                    <w:bottom w:val="single" w:color="auto" w:sz="4" w:space="0"/>
                    <w:right w:val="single" w:color="auto" w:sz="4" w:space="0"/>
                  </w:tcBorders>
                </w:tcPr>
                <w:p w14:paraId="11BCC40F">
                  <w:pPr>
                    <w:jc w:val="center"/>
                    <w:rPr>
                      <w:color w:val="000000"/>
                      <w:sz w:val="18"/>
                      <w:szCs w:val="18"/>
                    </w:rPr>
                  </w:pPr>
                  <w:r>
                    <w:rPr>
                      <w:rFonts w:hint="eastAsia"/>
                      <w:color w:val="000000"/>
                      <w:sz w:val="18"/>
                      <w:szCs w:val="18"/>
                    </w:rPr>
                    <w:t>云母纸</w:t>
                  </w:r>
                </w:p>
              </w:tc>
              <w:tc>
                <w:tcPr>
                  <w:tcW w:w="2773" w:type="dxa"/>
                  <w:tcBorders>
                    <w:top w:val="single" w:color="auto" w:sz="4" w:space="0"/>
                    <w:left w:val="single" w:color="auto" w:sz="4" w:space="0"/>
                    <w:bottom w:val="single" w:color="auto" w:sz="4" w:space="0"/>
                    <w:right w:val="single" w:color="auto" w:sz="4" w:space="0"/>
                  </w:tcBorders>
                  <w:vAlign w:val="center"/>
                </w:tcPr>
                <w:p w14:paraId="11BA2548">
                  <w:pPr>
                    <w:rPr>
                      <w:sz w:val="18"/>
                      <w:szCs w:val="18"/>
                    </w:rPr>
                  </w:pPr>
                  <w:r>
                    <w:rPr>
                      <w:rFonts w:hint="eastAsia"/>
                      <w:sz w:val="18"/>
                      <w:szCs w:val="18"/>
                    </w:rPr>
                    <w:t>长度380 mm，宽110 mm，厚度0.18 mm，耐温800 ℃</w:t>
                  </w:r>
                </w:p>
              </w:tc>
              <w:tc>
                <w:tcPr>
                  <w:tcW w:w="538" w:type="dxa"/>
                </w:tcPr>
                <w:p w14:paraId="2D34E69E">
                  <w:pPr>
                    <w:jc w:val="center"/>
                    <w:rPr>
                      <w:color w:val="000000"/>
                      <w:sz w:val="18"/>
                      <w:szCs w:val="18"/>
                    </w:rPr>
                  </w:pPr>
                  <w:r>
                    <w:rPr>
                      <w:rFonts w:hint="eastAsia"/>
                      <w:color w:val="000000"/>
                      <w:sz w:val="18"/>
                      <w:szCs w:val="18"/>
                    </w:rPr>
                    <w:t>张</w:t>
                  </w:r>
                </w:p>
              </w:tc>
              <w:tc>
                <w:tcPr>
                  <w:tcW w:w="574" w:type="dxa"/>
                </w:tcPr>
                <w:p w14:paraId="617FFC5C">
                  <w:pPr>
                    <w:jc w:val="center"/>
                    <w:rPr>
                      <w:color w:val="000000"/>
                      <w:sz w:val="18"/>
                      <w:szCs w:val="18"/>
                    </w:rPr>
                  </w:pPr>
                  <w:r>
                    <w:rPr>
                      <w:rFonts w:hint="eastAsia"/>
                      <w:color w:val="000000"/>
                      <w:sz w:val="18"/>
                      <w:szCs w:val="18"/>
                    </w:rPr>
                    <w:t>2000</w:t>
                  </w:r>
                </w:p>
              </w:tc>
            </w:tr>
            <w:tr w14:paraId="62D4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67" w:type="dxa"/>
                </w:tcPr>
                <w:p w14:paraId="7F10AE22">
                  <w:pPr>
                    <w:jc w:val="center"/>
                    <w:rPr>
                      <w:color w:val="000000"/>
                      <w:sz w:val="18"/>
                      <w:szCs w:val="18"/>
                    </w:rPr>
                  </w:pPr>
                  <w:r>
                    <w:rPr>
                      <w:rFonts w:hint="eastAsia"/>
                      <w:color w:val="000000"/>
                      <w:sz w:val="18"/>
                      <w:szCs w:val="18"/>
                    </w:rPr>
                    <w:t>7</w:t>
                  </w:r>
                </w:p>
              </w:tc>
              <w:tc>
                <w:tcPr>
                  <w:tcW w:w="985" w:type="dxa"/>
                  <w:tcBorders>
                    <w:top w:val="single" w:color="auto" w:sz="4" w:space="0"/>
                    <w:left w:val="single" w:color="auto" w:sz="4" w:space="0"/>
                    <w:bottom w:val="single" w:color="auto" w:sz="4" w:space="0"/>
                    <w:right w:val="single" w:color="auto" w:sz="4" w:space="0"/>
                  </w:tcBorders>
                </w:tcPr>
                <w:p w14:paraId="3DF55BBE">
                  <w:pPr>
                    <w:jc w:val="center"/>
                    <w:rPr>
                      <w:color w:val="000000"/>
                      <w:sz w:val="18"/>
                      <w:szCs w:val="18"/>
                    </w:rPr>
                  </w:pPr>
                  <w:r>
                    <w:rPr>
                      <w:rFonts w:hint="eastAsia"/>
                      <w:color w:val="000000"/>
                      <w:sz w:val="18"/>
                      <w:szCs w:val="18"/>
                    </w:rPr>
                    <w:t>接线端子</w:t>
                  </w:r>
                </w:p>
              </w:tc>
              <w:tc>
                <w:tcPr>
                  <w:tcW w:w="2773" w:type="dxa"/>
                  <w:tcBorders>
                    <w:top w:val="single" w:color="auto" w:sz="4" w:space="0"/>
                    <w:left w:val="single" w:color="auto" w:sz="4" w:space="0"/>
                    <w:bottom w:val="single" w:color="auto" w:sz="4" w:space="0"/>
                    <w:right w:val="single" w:color="auto" w:sz="4" w:space="0"/>
                  </w:tcBorders>
                  <w:vAlign w:val="center"/>
                </w:tcPr>
                <w:p w14:paraId="08CD5893">
                  <w:pPr>
                    <w:rPr>
                      <w:sz w:val="18"/>
                      <w:szCs w:val="18"/>
                    </w:rPr>
                  </w:pPr>
                  <w:r>
                    <w:rPr>
                      <w:rFonts w:hint="eastAsia"/>
                      <w:sz w:val="18"/>
                      <w:szCs w:val="18"/>
                    </w:rPr>
                    <w:t>PCT彩色二进二出插拔连接器</w:t>
                  </w:r>
                </w:p>
              </w:tc>
              <w:tc>
                <w:tcPr>
                  <w:tcW w:w="538" w:type="dxa"/>
                </w:tcPr>
                <w:p w14:paraId="48CBBCFE">
                  <w:pPr>
                    <w:jc w:val="center"/>
                    <w:rPr>
                      <w:color w:val="000000"/>
                      <w:sz w:val="18"/>
                      <w:szCs w:val="18"/>
                    </w:rPr>
                  </w:pPr>
                  <w:r>
                    <w:rPr>
                      <w:rFonts w:hint="eastAsia"/>
                      <w:color w:val="000000"/>
                      <w:sz w:val="18"/>
                      <w:szCs w:val="18"/>
                    </w:rPr>
                    <w:t>个</w:t>
                  </w:r>
                </w:p>
              </w:tc>
              <w:tc>
                <w:tcPr>
                  <w:tcW w:w="574" w:type="dxa"/>
                </w:tcPr>
                <w:p w14:paraId="4B1E41F3">
                  <w:pPr>
                    <w:jc w:val="center"/>
                    <w:rPr>
                      <w:color w:val="000000"/>
                      <w:sz w:val="18"/>
                      <w:szCs w:val="18"/>
                    </w:rPr>
                  </w:pPr>
                  <w:r>
                    <w:rPr>
                      <w:rFonts w:hint="eastAsia"/>
                      <w:color w:val="000000"/>
                      <w:sz w:val="18"/>
                      <w:szCs w:val="18"/>
                    </w:rPr>
                    <w:t>300</w:t>
                  </w:r>
                </w:p>
              </w:tc>
            </w:tr>
          </w:tbl>
          <w:p w14:paraId="279EBE1C">
            <w:pPr>
              <w:pStyle w:val="11"/>
              <w:numPr>
                <w:ilvl w:val="0"/>
                <w:numId w:val="0"/>
              </w:numPr>
              <w:tabs>
                <w:tab w:val="left" w:pos="6915"/>
                <w:tab w:val="clear" w:pos="1428"/>
              </w:tabs>
              <w:spacing w:line="240" w:lineRule="auto"/>
              <w:rPr>
                <w:rFonts w:hint="eastAsia"/>
                <w:bCs/>
                <w:sz w:val="24"/>
              </w:rPr>
            </w:pPr>
          </w:p>
        </w:tc>
        <w:tc>
          <w:tcPr>
            <w:tcW w:w="1403" w:type="dxa"/>
            <w:vAlign w:val="center"/>
          </w:tcPr>
          <w:p w14:paraId="205FF5AB">
            <w:pPr>
              <w:spacing w:line="240" w:lineRule="atLeast"/>
              <w:jc w:val="center"/>
            </w:pPr>
          </w:p>
        </w:tc>
        <w:tc>
          <w:tcPr>
            <w:tcW w:w="1041"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436" w:type="dxa"/>
            <w:vAlign w:val="center"/>
          </w:tcPr>
          <w:p w14:paraId="21D5CC9B">
            <w:pPr>
              <w:spacing w:line="240" w:lineRule="atLeast"/>
              <w:jc w:val="center"/>
            </w:pPr>
            <w:r>
              <w:t>2</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991" w:type="dxa"/>
            <w:tcBorders>
              <w:top w:val="single" w:color="auto" w:sz="4" w:space="0"/>
              <w:left w:val="nil"/>
              <w:bottom w:val="single" w:color="auto" w:sz="4" w:space="0"/>
              <w:right w:val="single" w:color="auto" w:sz="4" w:space="0"/>
            </w:tcBorders>
            <w:shd w:val="clear" w:color="auto" w:fill="auto"/>
            <w:vAlign w:val="center"/>
          </w:tcPr>
          <w:p w14:paraId="0643E482">
            <w:pPr>
              <w:tabs>
                <w:tab w:val="left" w:pos="6915"/>
              </w:tabs>
              <w:jc w:val="left"/>
              <w:rPr>
                <w:rFonts w:hint="eastAsia" w:ascii="宋体" w:hAnsi="宋体"/>
                <w:b/>
                <w:szCs w:val="21"/>
              </w:rPr>
            </w:pPr>
            <w:r>
              <w:rPr>
                <w:rFonts w:ascii="宋体" w:hAnsi="宋体"/>
                <w:b/>
                <w:szCs w:val="21"/>
              </w:rPr>
              <w:t>交货期</w:t>
            </w:r>
            <w:r>
              <w:rPr>
                <w:rFonts w:hint="eastAsia" w:ascii="宋体" w:hAnsi="宋体"/>
                <w:b/>
                <w:szCs w:val="21"/>
              </w:rPr>
              <w:t>：</w:t>
            </w:r>
          </w:p>
          <w:p w14:paraId="7AEEF743">
            <w:pPr>
              <w:tabs>
                <w:tab w:val="left" w:pos="6915"/>
              </w:tabs>
              <w:jc w:val="left"/>
              <w:rPr>
                <w:rFonts w:hint="eastAsia" w:ascii="宋体" w:hAnsi="宋体" w:cs="宋体"/>
                <w:bCs/>
                <w:sz w:val="24"/>
              </w:rPr>
            </w:pPr>
            <w:r>
              <w:rPr>
                <w:rFonts w:hint="eastAsia" w:ascii="宋体" w:hAnsi="宋体" w:cs="宋体"/>
                <w:bCs/>
                <w:sz w:val="24"/>
              </w:rPr>
              <w:t>1：合同签订1个月内交付所有耗材，并根据HALF真空室的进度，按照采购人的要求开展贴膜服务。</w:t>
            </w:r>
          </w:p>
          <w:p w14:paraId="4FDFA0B7">
            <w:pPr>
              <w:tabs>
                <w:tab w:val="left" w:pos="6915"/>
              </w:tabs>
              <w:jc w:val="left"/>
              <w:rPr>
                <w:rFonts w:hint="default" w:ascii="宋体" w:hAnsi="宋体"/>
                <w:b/>
                <w:szCs w:val="21"/>
                <w:lang w:val="en-US" w:eastAsia="zh-CN"/>
              </w:rPr>
            </w:pPr>
            <w:r>
              <w:rPr>
                <w:rFonts w:hint="eastAsia" w:ascii="宋体" w:hAnsi="宋体"/>
                <w:b/>
                <w:szCs w:val="21"/>
                <w:lang w:val="en-US" w:eastAsia="zh-CN"/>
              </w:rPr>
              <w:t>其他要求：</w:t>
            </w:r>
          </w:p>
          <w:p w14:paraId="4D727B79">
            <w:pPr>
              <w:tabs>
                <w:tab w:val="left" w:pos="6915"/>
              </w:tabs>
              <w:rPr>
                <w:rFonts w:hint="eastAsia" w:ascii="宋体" w:hAnsi="宋体" w:cs="宋体"/>
                <w:bCs/>
                <w:sz w:val="24"/>
              </w:rPr>
            </w:pPr>
            <w:r>
              <w:rPr>
                <w:rFonts w:hint="eastAsia" w:ascii="宋体" w:hAnsi="宋体" w:cs="宋体"/>
                <w:bCs/>
                <w:sz w:val="24"/>
                <w:lang w:val="en-US" w:eastAsia="zh-CN"/>
              </w:rPr>
              <w:t>1、</w:t>
            </w:r>
            <w:r>
              <w:rPr>
                <w:rFonts w:hint="eastAsia" w:ascii="宋体" w:hAnsi="宋体" w:cs="宋体"/>
                <w:bCs/>
                <w:sz w:val="24"/>
              </w:rPr>
              <w:t>加热膜贴合方案，厂家提供详细的加热膜贴合技术方案、所需的全套专业用品以及明细表（高温工况密封粘合剂、工装夹具以及刮板等）。</w:t>
            </w:r>
          </w:p>
          <w:p w14:paraId="354ED99E">
            <w:pPr>
              <w:tabs>
                <w:tab w:val="left" w:pos="6915"/>
              </w:tabs>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对耗材，提供详细产品规格、型号和参数等。</w:t>
            </w:r>
          </w:p>
          <w:p w14:paraId="12D82389">
            <w:pPr>
              <w:tabs>
                <w:tab w:val="left" w:pos="6915"/>
              </w:tabs>
              <w:rPr>
                <w:rFonts w:hint="eastAsia" w:ascii="宋体" w:hAnsi="宋体"/>
                <w:b/>
                <w:szCs w:val="21"/>
              </w:rPr>
            </w:pPr>
            <w:r>
              <w:rPr>
                <w:rFonts w:hint="eastAsia" w:ascii="宋体" w:hAnsi="宋体" w:cs="宋体"/>
                <w:bCs/>
                <w:sz w:val="24"/>
                <w:lang w:val="en-US" w:eastAsia="zh-CN"/>
              </w:rPr>
              <w:t>3、</w:t>
            </w:r>
            <w:r>
              <w:rPr>
                <w:rFonts w:hint="eastAsia" w:ascii="宋体" w:hAnsi="宋体" w:cs="宋体"/>
                <w:bCs/>
                <w:sz w:val="24"/>
              </w:rPr>
              <w:t>对工期的要求，厂家提供对应的保证工期和质量的说明等</w:t>
            </w:r>
          </w:p>
          <w:p w14:paraId="2DE0619F">
            <w:pPr>
              <w:tabs>
                <w:tab w:val="left" w:pos="6915"/>
              </w:tabs>
              <w:jc w:val="left"/>
              <w:rPr>
                <w:rFonts w:hint="eastAsia" w:ascii="宋体" w:hAnsi="宋体"/>
                <w:b/>
                <w:szCs w:val="21"/>
              </w:rPr>
            </w:pPr>
            <w:r>
              <w:rPr>
                <w:rFonts w:ascii="宋体" w:hAnsi="宋体"/>
                <w:b/>
                <w:szCs w:val="21"/>
              </w:rPr>
              <w:t>付款方式</w:t>
            </w:r>
            <w:r>
              <w:rPr>
                <w:rFonts w:hint="eastAsia" w:ascii="宋体" w:hAnsi="宋体"/>
                <w:b/>
                <w:szCs w:val="21"/>
              </w:rPr>
              <w:t>：</w:t>
            </w:r>
            <w:r>
              <w:rPr>
                <w:rFonts w:hint="eastAsia" w:ascii="宋体" w:hAnsi="宋体" w:cs="宋体"/>
                <w:bCs/>
                <w:sz w:val="24"/>
              </w:rPr>
              <w:t>合同签订，预付合同总金额的50%；完成贴膜服务后，验收合格且收到全额发票后甲方于 30 日内支付剩余款项。</w:t>
            </w:r>
          </w:p>
          <w:p w14:paraId="50609E60">
            <w:pPr>
              <w:tabs>
                <w:tab w:val="left" w:pos="6915"/>
              </w:tabs>
              <w:jc w:val="left"/>
              <w:rPr>
                <w:rFonts w:hint="eastAsia" w:ascii="宋体" w:hAnsi="宋体"/>
                <w:b/>
                <w:szCs w:val="21"/>
              </w:rPr>
            </w:pPr>
            <w:r>
              <w:rPr>
                <w:rFonts w:hint="eastAsia" w:ascii="宋体" w:hAnsi="宋体"/>
                <w:b/>
                <w:szCs w:val="21"/>
              </w:rPr>
              <w:t>验收指标及验收要求：</w:t>
            </w:r>
          </w:p>
          <w:p w14:paraId="62A65A83">
            <w:pPr>
              <w:numPr>
                <w:ilvl w:val="0"/>
                <w:numId w:val="1"/>
              </w:numPr>
              <w:tabs>
                <w:tab w:val="left" w:pos="6915"/>
              </w:tabs>
              <w:jc w:val="left"/>
              <w:rPr>
                <w:rFonts w:hint="eastAsia" w:ascii="宋体" w:hAnsi="宋体" w:cs="宋体"/>
                <w:bCs/>
                <w:sz w:val="24"/>
              </w:rPr>
            </w:pPr>
            <w:r>
              <w:rPr>
                <w:rFonts w:hint="eastAsia" w:ascii="宋体" w:hAnsi="宋体" w:cs="宋体"/>
                <w:bCs/>
                <w:sz w:val="24"/>
              </w:rPr>
              <w:t>贴膜服务数量、质量（主要性能）均满足要求；</w:t>
            </w:r>
          </w:p>
          <w:p w14:paraId="2F4B2531">
            <w:pPr>
              <w:numPr>
                <w:ilvl w:val="0"/>
                <w:numId w:val="1"/>
              </w:numPr>
              <w:tabs>
                <w:tab w:val="left" w:pos="6915"/>
              </w:tabs>
              <w:jc w:val="left"/>
              <w:rPr>
                <w:rFonts w:hint="eastAsia" w:ascii="宋体" w:hAnsi="宋体" w:cs="宋体"/>
                <w:bCs/>
                <w:sz w:val="24"/>
              </w:rPr>
            </w:pPr>
            <w:r>
              <w:rPr>
                <w:rFonts w:hint="eastAsia" w:ascii="宋体" w:hAnsi="宋体" w:cs="宋体"/>
                <w:bCs/>
                <w:sz w:val="24"/>
              </w:rPr>
              <w:t>贴制加热膜的真空室能够完成烘烤激活处理。</w:t>
            </w:r>
          </w:p>
          <w:p w14:paraId="274F0D47">
            <w:pPr>
              <w:tabs>
                <w:tab w:val="left" w:pos="6915"/>
              </w:tabs>
              <w:jc w:val="left"/>
              <w:rPr>
                <w:rFonts w:hint="eastAsia"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保修及售后服务：</w:t>
            </w:r>
          </w:p>
          <w:p w14:paraId="6FD2CD88">
            <w:pPr>
              <w:tabs>
                <w:tab w:val="left" w:pos="6915"/>
              </w:tabs>
              <w:jc w:val="left"/>
              <w:rPr>
                <w:rFonts w:hint="eastAsia" w:ascii="宋体" w:hAnsi="宋体" w:eastAsia="宋体" w:cs="宋体"/>
                <w:bCs/>
                <w:szCs w:val="21"/>
              </w:rPr>
            </w:pPr>
            <w:r>
              <w:rPr>
                <w:rFonts w:hint="eastAsia" w:ascii="宋体" w:hAnsi="宋体" w:cs="宋体"/>
                <w:bCs/>
                <w:color w:val="000000" w:themeColor="text1"/>
                <w:sz w:val="24"/>
                <w14:textFill>
                  <w14:solidFill>
                    <w14:schemeClr w14:val="tx1"/>
                  </w14:solidFill>
                </w14:textFill>
              </w:rPr>
              <w:t>服务提供商按照所述服务时间、地点、内容、数量和质量等要求向采购人提供服务，在服务期限内，若服务提供商提供的服务未达到约定的数量、质量等标准，应当及时更换、补齐或提升服务质量水平至要求的标准。质量保证期为12个月，自项目服务完毕且验收合格之日起算。在质保期内，服务提供商对所供服务出现的问题负责，服务提供商应于接到采购人服务问题通知后24小时内(法定假期除外)进行响应，需要抵达现场进行服务问题解决的，供应商应在两个工作日内抵达现场，并应在合理的时间内完成服务。</w:t>
            </w:r>
          </w:p>
        </w:tc>
        <w:tc>
          <w:tcPr>
            <w:tcW w:w="1403" w:type="dxa"/>
            <w:vAlign w:val="center"/>
          </w:tcPr>
          <w:p w14:paraId="324B1D27">
            <w:pPr>
              <w:spacing w:line="240" w:lineRule="atLeast"/>
              <w:jc w:val="center"/>
            </w:pPr>
          </w:p>
        </w:tc>
        <w:tc>
          <w:tcPr>
            <w:tcW w:w="1041" w:type="dxa"/>
            <w:vAlign w:val="center"/>
          </w:tcPr>
          <w:p w14:paraId="06AA2CA0">
            <w:pPr>
              <w:spacing w:line="240" w:lineRule="atLeast"/>
              <w:jc w:val="center"/>
            </w:pPr>
          </w:p>
        </w:tc>
      </w:tr>
    </w:tbl>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C45481"/>
    <w:multiLevelType w:val="singleLevel"/>
    <w:tmpl w:val="BBC4548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48E0"/>
    <w:rsid w:val="00180627"/>
    <w:rsid w:val="001B219D"/>
    <w:rsid w:val="001D3367"/>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84F75"/>
    <w:rsid w:val="005C4758"/>
    <w:rsid w:val="005D36D5"/>
    <w:rsid w:val="005E2C0C"/>
    <w:rsid w:val="005F7E7B"/>
    <w:rsid w:val="00630F8F"/>
    <w:rsid w:val="00642CDA"/>
    <w:rsid w:val="00670B3D"/>
    <w:rsid w:val="006B62DC"/>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E3028"/>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D011DC"/>
    <w:rsid w:val="00D04097"/>
    <w:rsid w:val="00D16AC0"/>
    <w:rsid w:val="00D24D09"/>
    <w:rsid w:val="00D72E1E"/>
    <w:rsid w:val="00D81354"/>
    <w:rsid w:val="00DA7BF9"/>
    <w:rsid w:val="00E00131"/>
    <w:rsid w:val="00E0215E"/>
    <w:rsid w:val="00E147A9"/>
    <w:rsid w:val="00E31AA5"/>
    <w:rsid w:val="00E5012E"/>
    <w:rsid w:val="00E762FD"/>
    <w:rsid w:val="00E930C8"/>
    <w:rsid w:val="00EA412A"/>
    <w:rsid w:val="00EA6BA9"/>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7416EBF"/>
    <w:rsid w:val="093C12EB"/>
    <w:rsid w:val="0EAD5D79"/>
    <w:rsid w:val="0EB47357"/>
    <w:rsid w:val="24FF7627"/>
    <w:rsid w:val="251E174D"/>
    <w:rsid w:val="2D070EC5"/>
    <w:rsid w:val="40512489"/>
    <w:rsid w:val="468B21C7"/>
    <w:rsid w:val="46BF17AE"/>
    <w:rsid w:val="47494CC3"/>
    <w:rsid w:val="48EB0E6F"/>
    <w:rsid w:val="58533025"/>
    <w:rsid w:val="5DC766F2"/>
    <w:rsid w:val="64331764"/>
    <w:rsid w:val="6DA20D7D"/>
    <w:rsid w:val="70E72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99"/>
    <w:pPr>
      <w:tabs>
        <w:tab w:val="left" w:pos="1428"/>
      </w:tabs>
      <w:ind w:firstLine="420" w:firstLineChars="200"/>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1278</Words>
  <Characters>1418</Characters>
  <Lines>6</Lines>
  <Paragraphs>1</Paragraphs>
  <TotalTime>0</TotalTime>
  <ScaleCrop>false</ScaleCrop>
  <LinksUpToDate>false</LinksUpToDate>
  <CharactersWithSpaces>1458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2026-03-10T01:07:52Z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