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7F42D7">
      <w:pPr>
        <w:jc w:val="center"/>
        <w:rPr>
          <w:sz w:val="32"/>
          <w:szCs w:val="32"/>
        </w:rPr>
      </w:pPr>
      <w:r>
        <w:rPr>
          <w:sz w:val="32"/>
          <w:szCs w:val="32"/>
        </w:rPr>
        <w:t>中国科学技术大学国家同步辐射实验室</w:t>
      </w:r>
    </w:p>
    <w:p w14:paraId="71ADF21F">
      <w:pPr>
        <w:jc w:val="center"/>
        <w:rPr>
          <w:sz w:val="32"/>
          <w:szCs w:val="32"/>
        </w:rPr>
      </w:pPr>
      <w:r>
        <w:rPr>
          <w:rFonts w:hint="eastAsia"/>
          <w:sz w:val="32"/>
          <w:szCs w:val="32"/>
        </w:rPr>
        <w:t>技术指标供应商确认表</w:t>
      </w:r>
    </w:p>
    <w:p w14:paraId="50584A57">
      <w:pPr>
        <w:rPr>
          <w:sz w:val="24"/>
          <w:szCs w:val="24"/>
        </w:rPr>
      </w:pPr>
    </w:p>
    <w:tbl>
      <w:tblPr>
        <w:tblStyle w:val="3"/>
        <w:tblW w:w="9781" w:type="dxa"/>
        <w:tblInd w:w="-5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5"/>
        <w:gridCol w:w="1561"/>
        <w:gridCol w:w="5322"/>
        <w:gridCol w:w="1201"/>
        <w:gridCol w:w="992"/>
      </w:tblGrid>
      <w:tr w14:paraId="20C66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6" w:hRule="atLeast"/>
        </w:trPr>
        <w:tc>
          <w:tcPr>
            <w:tcW w:w="705" w:type="dxa"/>
            <w:vAlign w:val="center"/>
          </w:tcPr>
          <w:p w14:paraId="3E29496F">
            <w:pPr>
              <w:spacing w:line="240" w:lineRule="atLeast"/>
              <w:jc w:val="center"/>
              <w:rPr>
                <w:sz w:val="24"/>
                <w:szCs w:val="24"/>
              </w:rPr>
            </w:pPr>
            <w:r>
              <w:rPr>
                <w:rFonts w:hint="eastAsia"/>
                <w:sz w:val="24"/>
                <w:szCs w:val="24"/>
              </w:rPr>
              <w:t>序号</w:t>
            </w:r>
          </w:p>
        </w:tc>
        <w:tc>
          <w:tcPr>
            <w:tcW w:w="1561" w:type="dxa"/>
            <w:vAlign w:val="center"/>
          </w:tcPr>
          <w:p w14:paraId="467D4662">
            <w:pPr>
              <w:spacing w:line="240" w:lineRule="atLeast"/>
              <w:jc w:val="center"/>
              <w:rPr>
                <w:sz w:val="24"/>
                <w:szCs w:val="24"/>
              </w:rPr>
            </w:pPr>
            <w:r>
              <w:rPr>
                <w:rFonts w:hint="eastAsia"/>
                <w:sz w:val="24"/>
                <w:szCs w:val="24"/>
              </w:rPr>
              <w:t>名称</w:t>
            </w:r>
          </w:p>
        </w:tc>
        <w:tc>
          <w:tcPr>
            <w:tcW w:w="5322" w:type="dxa"/>
            <w:vAlign w:val="center"/>
          </w:tcPr>
          <w:p w14:paraId="0B99A1E1">
            <w:pPr>
              <w:spacing w:line="240" w:lineRule="atLeast"/>
              <w:jc w:val="center"/>
              <w:rPr>
                <w:sz w:val="24"/>
                <w:szCs w:val="24"/>
              </w:rPr>
            </w:pPr>
            <w:r>
              <w:rPr>
                <w:rFonts w:hint="eastAsia"/>
                <w:sz w:val="24"/>
                <w:szCs w:val="24"/>
              </w:rPr>
              <w:t>技术指标</w:t>
            </w:r>
          </w:p>
        </w:tc>
        <w:tc>
          <w:tcPr>
            <w:tcW w:w="1201" w:type="dxa"/>
            <w:vAlign w:val="center"/>
          </w:tcPr>
          <w:p w14:paraId="78A93726">
            <w:pPr>
              <w:spacing w:line="240" w:lineRule="atLeast"/>
              <w:jc w:val="center"/>
              <w:rPr>
                <w:sz w:val="24"/>
                <w:szCs w:val="24"/>
              </w:rPr>
            </w:pPr>
            <w:r>
              <w:rPr>
                <w:rFonts w:hint="eastAsia"/>
                <w:sz w:val="24"/>
                <w:szCs w:val="24"/>
              </w:rPr>
              <w:t>偏离说明</w:t>
            </w:r>
          </w:p>
          <w:p w14:paraId="529022B5">
            <w:pPr>
              <w:spacing w:line="240" w:lineRule="atLeast"/>
              <w:jc w:val="center"/>
              <w:rPr>
                <w:sz w:val="24"/>
                <w:szCs w:val="24"/>
              </w:rPr>
            </w:pPr>
            <w:r>
              <w:rPr>
                <w:rFonts w:hint="eastAsia"/>
                <w:sz w:val="24"/>
                <w:szCs w:val="24"/>
              </w:rPr>
              <w:t>(</w:t>
            </w:r>
            <w:r>
              <w:rPr>
                <w:sz w:val="24"/>
                <w:szCs w:val="24"/>
              </w:rPr>
              <w:t>无偏离</w:t>
            </w:r>
            <w:r>
              <w:rPr>
                <w:rFonts w:hint="eastAsia"/>
                <w:sz w:val="24"/>
                <w:szCs w:val="24"/>
              </w:rPr>
              <w:t>/</w:t>
            </w:r>
            <w:r>
              <w:rPr>
                <w:sz w:val="24"/>
                <w:szCs w:val="24"/>
              </w:rPr>
              <w:t>正偏离</w:t>
            </w:r>
            <w:r>
              <w:rPr>
                <w:rFonts w:hint="eastAsia"/>
                <w:sz w:val="24"/>
                <w:szCs w:val="24"/>
              </w:rPr>
              <w:t>/</w:t>
            </w:r>
            <w:r>
              <w:rPr>
                <w:sz w:val="24"/>
                <w:szCs w:val="24"/>
              </w:rPr>
              <w:t>负偏离</w:t>
            </w:r>
            <w:r>
              <w:rPr>
                <w:rFonts w:hint="eastAsia"/>
                <w:sz w:val="24"/>
                <w:szCs w:val="24"/>
              </w:rPr>
              <w:t>)</w:t>
            </w:r>
          </w:p>
        </w:tc>
        <w:tc>
          <w:tcPr>
            <w:tcW w:w="992" w:type="dxa"/>
            <w:vAlign w:val="center"/>
          </w:tcPr>
          <w:p w14:paraId="744AE6C5">
            <w:pPr>
              <w:spacing w:line="240" w:lineRule="atLeast"/>
              <w:jc w:val="center"/>
              <w:rPr>
                <w:sz w:val="24"/>
                <w:szCs w:val="24"/>
              </w:rPr>
            </w:pPr>
            <w:r>
              <w:rPr>
                <w:rFonts w:hint="eastAsia"/>
                <w:sz w:val="24"/>
                <w:szCs w:val="24"/>
              </w:rPr>
              <w:t>偏离值</w:t>
            </w:r>
          </w:p>
        </w:tc>
      </w:tr>
      <w:tr w14:paraId="6C24D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9" w:hRule="atLeast"/>
        </w:trPr>
        <w:tc>
          <w:tcPr>
            <w:tcW w:w="705" w:type="dxa"/>
            <w:vAlign w:val="center"/>
          </w:tcPr>
          <w:p w14:paraId="6B5478EA">
            <w:pPr>
              <w:spacing w:line="240" w:lineRule="atLeast"/>
              <w:jc w:val="center"/>
              <w:rPr>
                <w:sz w:val="24"/>
                <w:szCs w:val="24"/>
              </w:rPr>
            </w:pPr>
            <w:r>
              <w:rPr>
                <w:rFonts w:hint="eastAsia"/>
                <w:sz w:val="24"/>
                <w:szCs w:val="24"/>
              </w:rPr>
              <w:t>1</w:t>
            </w:r>
          </w:p>
        </w:tc>
        <w:tc>
          <w:tcPr>
            <w:tcW w:w="1561" w:type="dxa"/>
            <w:tcBorders>
              <w:top w:val="single" w:color="auto" w:sz="4" w:space="0"/>
              <w:left w:val="single" w:color="auto" w:sz="4" w:space="0"/>
              <w:right w:val="single" w:color="auto" w:sz="4" w:space="0"/>
            </w:tcBorders>
            <w:shd w:val="clear" w:color="auto" w:fill="auto"/>
            <w:vAlign w:val="center"/>
          </w:tcPr>
          <w:p w14:paraId="72D7432B">
            <w:pPr>
              <w:keepNext w:val="0"/>
              <w:keepLines w:val="0"/>
              <w:pageBreakBefore w:val="0"/>
              <w:widowControl w:val="0"/>
              <w:tabs>
                <w:tab w:val="left" w:pos="6915"/>
              </w:tabs>
              <w:kinsoku/>
              <w:topLinePunct w:val="0"/>
              <w:autoSpaceDE/>
              <w:autoSpaceDN/>
              <w:bidi w:val="0"/>
              <w:adjustRightInd w:val="0"/>
              <w:snapToGrid w:val="0"/>
              <w:spacing w:line="240" w:lineRule="auto"/>
              <w:jc w:val="left"/>
              <w:textAlignment w:val="auto"/>
              <w:rPr>
                <w:rFonts w:hint="default" w:eastAsiaTheme="minorEastAsia"/>
                <w:sz w:val="24"/>
                <w:szCs w:val="24"/>
                <w:lang w:val="en-US" w:eastAsia="zh-CN"/>
              </w:rPr>
            </w:pPr>
            <w:r>
              <w:rPr>
                <w:rFonts w:hint="default" w:ascii="Times New Roman" w:hAnsi="Times New Roman" w:eastAsia="宋体" w:cs="Times New Roman"/>
                <w:sz w:val="21"/>
                <w:szCs w:val="21"/>
                <w:lang w:val="en-US" w:eastAsia="zh-CN"/>
              </w:rPr>
              <w:t>单晶合成原料（稀土元素、硫属元素、坩埚、石英管等）</w:t>
            </w:r>
            <w:r>
              <w:rPr>
                <w:rFonts w:hint="eastAsia" w:asciiTheme="minorEastAsia" w:hAnsiTheme="minorEastAsia" w:eastAsiaTheme="minorEastAsia"/>
                <w:bCs/>
                <w:sz w:val="24"/>
                <w:szCs w:val="24"/>
              </w:rPr>
              <w:br w:type="textWrapping"/>
            </w:r>
            <w:r>
              <w:rPr>
                <w:rFonts w:hint="eastAsia" w:asciiTheme="minorEastAsia" w:hAnsiTheme="minorEastAsia" w:eastAsiaTheme="minorEastAsia"/>
                <w:bCs/>
                <w:sz w:val="24"/>
                <w:szCs w:val="24"/>
              </w:rPr>
              <w:br w:type="textWrapping"/>
            </w:r>
          </w:p>
        </w:tc>
        <w:tc>
          <w:tcPr>
            <w:tcW w:w="5322" w:type="dxa"/>
            <w:vAlign w:val="center"/>
          </w:tcPr>
          <w:p w14:paraId="6B8E430B">
            <w:pPr>
              <w:keepNext w:val="0"/>
              <w:keepLines w:val="0"/>
              <w:pageBreakBefore w:val="0"/>
              <w:widowControl w:val="0"/>
              <w:tabs>
                <w:tab w:val="left" w:pos="6915"/>
              </w:tabs>
              <w:kinsoku/>
              <w:topLinePunct w:val="0"/>
              <w:autoSpaceDE/>
              <w:autoSpaceDN/>
              <w:bidi w:val="0"/>
              <w:adjustRightInd w:val="0"/>
              <w:snapToGrid w:val="0"/>
              <w:spacing w:line="240" w:lineRule="auto"/>
              <w:jc w:val="left"/>
              <w:textAlignment w:val="auto"/>
              <w:rPr>
                <w:rFonts w:hint="default" w:ascii="Times New Roman" w:hAnsi="Times New Roman" w:cs="Times New Roman"/>
                <w:b w:val="0"/>
                <w:bCs/>
                <w:sz w:val="21"/>
                <w:szCs w:val="21"/>
              </w:rPr>
            </w:pPr>
            <w:r>
              <w:rPr>
                <w:rFonts w:hint="default" w:ascii="Times New Roman" w:hAnsi="Times New Roman" w:cs="Times New Roman"/>
                <w:b w:val="0"/>
                <w:bCs/>
                <w:sz w:val="21"/>
                <w:szCs w:val="21"/>
              </w:rPr>
              <w:t>1.靶材材料：金（Au）、铂（Pt）、钌（Ru）、钴（Co）、镍（Ni）和铁（Fe）靶材。</w:t>
            </w:r>
          </w:p>
          <w:p w14:paraId="35E2EA61">
            <w:pPr>
              <w:keepNext w:val="0"/>
              <w:keepLines w:val="0"/>
              <w:pageBreakBefore w:val="0"/>
              <w:widowControl w:val="0"/>
              <w:tabs>
                <w:tab w:val="left" w:pos="6915"/>
              </w:tabs>
              <w:kinsoku/>
              <w:topLinePunct w:val="0"/>
              <w:autoSpaceDE/>
              <w:autoSpaceDN/>
              <w:bidi w:val="0"/>
              <w:adjustRightInd w:val="0"/>
              <w:snapToGrid w:val="0"/>
              <w:spacing w:line="240" w:lineRule="auto"/>
              <w:jc w:val="left"/>
              <w:textAlignment w:val="auto"/>
              <w:rPr>
                <w:rFonts w:hint="default" w:ascii="Times New Roman" w:hAnsi="Times New Roman" w:cs="Times New Roman"/>
                <w:b w:val="0"/>
                <w:bCs/>
                <w:sz w:val="21"/>
                <w:szCs w:val="21"/>
              </w:rPr>
            </w:pPr>
            <w:r>
              <w:rPr>
                <w:rFonts w:hint="default" w:ascii="Times New Roman" w:hAnsi="Times New Roman" w:cs="Times New Roman"/>
                <w:b w:val="0"/>
                <w:bCs/>
                <w:sz w:val="21"/>
                <w:szCs w:val="21"/>
              </w:rPr>
              <w:t>2.靶材结构：采用铜（Cu）基底，基底表面镀覆相应的靶材金属层；铜基底纯度不低于99.99%。</w:t>
            </w:r>
          </w:p>
          <w:p w14:paraId="09B4825D">
            <w:pPr>
              <w:keepNext w:val="0"/>
              <w:keepLines w:val="0"/>
              <w:pageBreakBefore w:val="0"/>
              <w:widowControl w:val="0"/>
              <w:tabs>
                <w:tab w:val="left" w:pos="6915"/>
              </w:tabs>
              <w:kinsoku/>
              <w:topLinePunct w:val="0"/>
              <w:autoSpaceDE/>
              <w:autoSpaceDN/>
              <w:bidi w:val="0"/>
              <w:adjustRightInd w:val="0"/>
              <w:snapToGrid w:val="0"/>
              <w:spacing w:line="240" w:lineRule="auto"/>
              <w:jc w:val="left"/>
              <w:textAlignment w:val="auto"/>
              <w:rPr>
                <w:rFonts w:hint="default" w:ascii="Times New Roman" w:hAnsi="Times New Roman" w:cs="Times New Roman"/>
                <w:b w:val="0"/>
                <w:bCs/>
                <w:sz w:val="21"/>
                <w:szCs w:val="21"/>
              </w:rPr>
            </w:pPr>
            <w:r>
              <w:rPr>
                <w:rFonts w:hint="default" w:ascii="Times New Roman" w:hAnsi="Times New Roman" w:cs="Times New Roman"/>
                <w:b w:val="0"/>
                <w:bCs/>
                <w:sz w:val="21"/>
                <w:szCs w:val="21"/>
              </w:rPr>
              <w:t>3.靶材纯度：Au、Pt、Ru、Co、Ni和Fe靶材金属层的纯度均不低于99.95%。</w:t>
            </w:r>
          </w:p>
          <w:p w14:paraId="01625D59">
            <w:pPr>
              <w:keepNext w:val="0"/>
              <w:keepLines w:val="0"/>
              <w:pageBreakBefore w:val="0"/>
              <w:widowControl w:val="0"/>
              <w:tabs>
                <w:tab w:val="left" w:pos="6915"/>
              </w:tabs>
              <w:kinsoku/>
              <w:topLinePunct w:val="0"/>
              <w:autoSpaceDE/>
              <w:autoSpaceDN/>
              <w:bidi w:val="0"/>
              <w:adjustRightInd w:val="0"/>
              <w:snapToGrid w:val="0"/>
              <w:spacing w:line="240" w:lineRule="auto"/>
              <w:jc w:val="left"/>
              <w:textAlignment w:val="auto"/>
              <w:rPr>
                <w:rFonts w:hint="default" w:ascii="Times New Roman" w:hAnsi="Times New Roman" w:cs="Times New Roman"/>
                <w:b w:val="0"/>
                <w:bCs/>
                <w:sz w:val="21"/>
                <w:szCs w:val="21"/>
              </w:rPr>
            </w:pPr>
            <w:r>
              <w:rPr>
                <w:rFonts w:hint="default" w:ascii="Times New Roman" w:hAnsi="Times New Roman" w:cs="Times New Roman"/>
                <w:b w:val="0"/>
                <w:bCs/>
                <w:sz w:val="21"/>
                <w:szCs w:val="21"/>
              </w:rPr>
              <w:t>4.靶材尺寸：Au、Pt、Co、Ni和Fe靶材直径不小于2英寸（50.8mm），靶材金属层厚度不小于1.5mm；Ru靶材直径不小于2英寸（50.8mm），靶材金属层厚度不小于2.0mm。</w:t>
            </w:r>
          </w:p>
          <w:p w14:paraId="1317F616">
            <w:pPr>
              <w:keepNext w:val="0"/>
              <w:keepLines w:val="0"/>
              <w:pageBreakBefore w:val="0"/>
              <w:widowControl w:val="0"/>
              <w:tabs>
                <w:tab w:val="left" w:pos="6915"/>
              </w:tabs>
              <w:kinsoku/>
              <w:topLinePunct w:val="0"/>
              <w:autoSpaceDE/>
              <w:autoSpaceDN/>
              <w:bidi w:val="0"/>
              <w:adjustRightInd w:val="0"/>
              <w:snapToGrid w:val="0"/>
              <w:spacing w:line="240" w:lineRule="auto"/>
              <w:jc w:val="left"/>
              <w:textAlignment w:val="auto"/>
              <w:rPr>
                <w:rFonts w:hint="default" w:ascii="Times New Roman" w:hAnsi="Times New Roman" w:cs="Times New Roman"/>
                <w:b w:val="0"/>
                <w:bCs/>
                <w:sz w:val="21"/>
                <w:szCs w:val="21"/>
              </w:rPr>
            </w:pPr>
            <w:r>
              <w:rPr>
                <w:rFonts w:hint="default" w:ascii="Times New Roman" w:hAnsi="Times New Roman" w:cs="Times New Roman"/>
                <w:b w:val="0"/>
                <w:bCs/>
                <w:sz w:val="21"/>
                <w:szCs w:val="21"/>
              </w:rPr>
              <w:t>5.靶材重量：Au靶材不低于58g，Pt靶材不低于65g，Ru靶材不低于50g，Co靶材不低于27g，Ni靶材不低于27g，Fe靶材不低于23g；按照验收确认的实际重量结算。</w:t>
            </w:r>
          </w:p>
          <w:p w14:paraId="538108FF">
            <w:pPr>
              <w:keepNext w:val="0"/>
              <w:keepLines w:val="0"/>
              <w:pageBreakBefore w:val="0"/>
              <w:widowControl w:val="0"/>
              <w:tabs>
                <w:tab w:val="left" w:pos="6915"/>
              </w:tabs>
              <w:kinsoku/>
              <w:topLinePunct w:val="0"/>
              <w:autoSpaceDE/>
              <w:autoSpaceDN/>
              <w:bidi w:val="0"/>
              <w:adjustRightInd w:val="0"/>
              <w:snapToGrid w:val="0"/>
              <w:spacing w:line="240" w:lineRule="auto"/>
              <w:jc w:val="left"/>
              <w:textAlignment w:val="auto"/>
              <w:rPr>
                <w:rFonts w:hint="default" w:ascii="Times New Roman" w:hAnsi="Times New Roman" w:cs="Times New Roman"/>
                <w:b w:val="0"/>
                <w:bCs/>
                <w:sz w:val="21"/>
                <w:szCs w:val="21"/>
              </w:rPr>
            </w:pPr>
            <w:r>
              <w:rPr>
                <w:rFonts w:hint="default" w:ascii="Times New Roman" w:hAnsi="Times New Roman" w:cs="Times New Roman"/>
                <w:b w:val="0"/>
                <w:bCs/>
                <w:sz w:val="21"/>
                <w:szCs w:val="21"/>
              </w:rPr>
              <w:t>6.镀层质量：靶材工作面应完整、均匀，不得存在影响正常磁控溅射使用的明显针孔、裂纹、起皮、剥落、局部裸露或其他缺陷。</w:t>
            </w:r>
          </w:p>
          <w:p w14:paraId="0FB9606B">
            <w:pPr>
              <w:keepNext w:val="0"/>
              <w:keepLines w:val="0"/>
              <w:pageBreakBefore w:val="0"/>
              <w:widowControl w:val="0"/>
              <w:tabs>
                <w:tab w:val="left" w:pos="6915"/>
              </w:tabs>
              <w:kinsoku/>
              <w:topLinePunct w:val="0"/>
              <w:autoSpaceDE/>
              <w:autoSpaceDN/>
              <w:bidi w:val="0"/>
              <w:adjustRightInd w:val="0"/>
              <w:snapToGrid w:val="0"/>
              <w:spacing w:line="240" w:lineRule="auto"/>
              <w:jc w:val="left"/>
              <w:textAlignment w:val="auto"/>
              <w:rPr>
                <w:rFonts w:hint="eastAsia" w:eastAsiaTheme="minorEastAsia"/>
                <w:bCs/>
                <w:sz w:val="24"/>
                <w:szCs w:val="24"/>
                <w:lang w:eastAsia="zh-CN"/>
              </w:rPr>
            </w:pPr>
            <w:r>
              <w:rPr>
                <w:rFonts w:hint="default" w:ascii="Times New Roman" w:hAnsi="Times New Roman" w:cs="Times New Roman"/>
                <w:b w:val="0"/>
                <w:bCs/>
                <w:sz w:val="21"/>
                <w:szCs w:val="21"/>
              </w:rPr>
              <w:t>7.加工精度：靶材总厚度公差不超过±0.1mm，溅射工作面平面度不超过0.05mm，靶材金属层表面粗糙度Ra不超过0.8μm。</w:t>
            </w:r>
          </w:p>
        </w:tc>
        <w:tc>
          <w:tcPr>
            <w:tcW w:w="1201" w:type="dxa"/>
            <w:vAlign w:val="center"/>
          </w:tcPr>
          <w:p w14:paraId="3494B2B7">
            <w:pPr>
              <w:spacing w:line="240" w:lineRule="atLeast"/>
              <w:jc w:val="center"/>
              <w:rPr>
                <w:sz w:val="24"/>
                <w:szCs w:val="24"/>
              </w:rPr>
            </w:pPr>
          </w:p>
        </w:tc>
        <w:tc>
          <w:tcPr>
            <w:tcW w:w="992" w:type="dxa"/>
            <w:vAlign w:val="center"/>
          </w:tcPr>
          <w:p w14:paraId="4AB5E24F">
            <w:pPr>
              <w:spacing w:line="240" w:lineRule="atLeast"/>
              <w:jc w:val="center"/>
              <w:rPr>
                <w:sz w:val="24"/>
                <w:szCs w:val="24"/>
              </w:rPr>
            </w:pPr>
          </w:p>
        </w:tc>
      </w:tr>
      <w:tr w14:paraId="41B7F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6" w:hRule="atLeast"/>
        </w:trPr>
        <w:tc>
          <w:tcPr>
            <w:tcW w:w="705" w:type="dxa"/>
            <w:vAlign w:val="center"/>
          </w:tcPr>
          <w:p w14:paraId="1FB5921D">
            <w:pPr>
              <w:spacing w:line="240" w:lineRule="atLeast"/>
              <w:jc w:val="center"/>
              <w:rPr>
                <w:sz w:val="24"/>
                <w:szCs w:val="24"/>
              </w:rPr>
            </w:pPr>
            <w:r>
              <w:rPr>
                <w:sz w:val="24"/>
                <w:szCs w:val="24"/>
              </w:rPr>
              <w:t>2</w:t>
            </w:r>
          </w:p>
        </w:tc>
        <w:tc>
          <w:tcPr>
            <w:tcW w:w="1561" w:type="dxa"/>
            <w:tcBorders>
              <w:top w:val="single" w:color="auto" w:sz="4" w:space="0"/>
              <w:left w:val="single" w:color="auto" w:sz="4" w:space="0"/>
              <w:bottom w:val="single" w:color="auto" w:sz="4" w:space="0"/>
              <w:right w:val="single" w:color="auto" w:sz="4" w:space="0"/>
            </w:tcBorders>
            <w:shd w:val="clear" w:color="auto" w:fill="auto"/>
            <w:vAlign w:val="center"/>
          </w:tcPr>
          <w:p w14:paraId="6E87ED25">
            <w:pPr>
              <w:widowControl/>
              <w:spacing w:line="240" w:lineRule="atLeast"/>
              <w:jc w:val="center"/>
              <w:rPr>
                <w:sz w:val="24"/>
                <w:szCs w:val="24"/>
              </w:rPr>
            </w:pPr>
            <w:r>
              <w:rPr>
                <w:rFonts w:hint="eastAsia"/>
                <w:sz w:val="24"/>
                <w:szCs w:val="24"/>
              </w:rPr>
              <w:t>商务条款</w:t>
            </w:r>
          </w:p>
        </w:tc>
        <w:tc>
          <w:tcPr>
            <w:tcW w:w="5322" w:type="dxa"/>
            <w:tcBorders>
              <w:top w:val="single" w:color="auto" w:sz="4" w:space="0"/>
              <w:left w:val="nil"/>
              <w:bottom w:val="single" w:color="auto" w:sz="4" w:space="0"/>
              <w:right w:val="single" w:color="auto" w:sz="4" w:space="0"/>
            </w:tcBorders>
            <w:shd w:val="clear" w:color="auto" w:fill="auto"/>
            <w:vAlign w:val="center"/>
          </w:tcPr>
          <w:p w14:paraId="62826E3E">
            <w:pPr>
              <w:keepNext w:val="0"/>
              <w:keepLines w:val="0"/>
              <w:pageBreakBefore w:val="0"/>
              <w:widowControl w:val="0"/>
              <w:tabs>
                <w:tab w:val="left" w:pos="6915"/>
              </w:tabs>
              <w:kinsoku/>
              <w:topLinePunct w:val="0"/>
              <w:autoSpaceDE/>
              <w:autoSpaceDN/>
              <w:bidi w:val="0"/>
              <w:adjustRightInd w:val="0"/>
              <w:snapToGrid w:val="0"/>
              <w:spacing w:line="240" w:lineRule="auto"/>
              <w:jc w:val="left"/>
              <w:textAlignment w:val="auto"/>
              <w:rPr>
                <w:rFonts w:hint="default" w:ascii="Times New Roman" w:hAnsi="Times New Roman" w:cs="Times New Roman"/>
                <w:b w:val="0"/>
                <w:bCs/>
                <w:sz w:val="21"/>
                <w:szCs w:val="21"/>
              </w:rPr>
            </w:pPr>
            <w:r>
              <w:rPr>
                <w:rFonts w:hint="default" w:ascii="Times New Roman" w:hAnsi="Times New Roman" w:cs="Times New Roman"/>
                <w:b/>
                <w:bCs w:val="0"/>
                <w:sz w:val="21"/>
                <w:szCs w:val="21"/>
              </w:rPr>
              <w:t>交货期：</w:t>
            </w:r>
            <w:r>
              <w:rPr>
                <w:rFonts w:hint="default" w:ascii="Times New Roman" w:hAnsi="Times New Roman" w:cs="Times New Roman"/>
                <w:b w:val="0"/>
                <w:bCs/>
                <w:sz w:val="21"/>
                <w:szCs w:val="21"/>
              </w:rPr>
              <w:t>自合同签订之日起15天内完成供货。</w:t>
            </w:r>
          </w:p>
          <w:p w14:paraId="379C6791">
            <w:pPr>
              <w:keepNext w:val="0"/>
              <w:keepLines w:val="0"/>
              <w:pageBreakBefore w:val="0"/>
              <w:widowControl w:val="0"/>
              <w:tabs>
                <w:tab w:val="left" w:pos="6915"/>
              </w:tabs>
              <w:kinsoku/>
              <w:topLinePunct w:val="0"/>
              <w:autoSpaceDE/>
              <w:autoSpaceDN/>
              <w:bidi w:val="0"/>
              <w:adjustRightInd w:val="0"/>
              <w:snapToGrid w:val="0"/>
              <w:spacing w:line="240" w:lineRule="auto"/>
              <w:jc w:val="left"/>
              <w:textAlignment w:val="auto"/>
              <w:rPr>
                <w:rFonts w:hint="default" w:ascii="Times New Roman" w:hAnsi="Times New Roman" w:cs="Times New Roman"/>
                <w:b w:val="0"/>
                <w:bCs/>
                <w:sz w:val="21"/>
                <w:szCs w:val="21"/>
              </w:rPr>
            </w:pPr>
            <w:r>
              <w:rPr>
                <w:rFonts w:hint="default" w:ascii="Times New Roman" w:hAnsi="Times New Roman" w:cs="Times New Roman"/>
                <w:b/>
                <w:bCs w:val="0"/>
                <w:sz w:val="21"/>
                <w:szCs w:val="21"/>
              </w:rPr>
              <w:t>交付进度：</w:t>
            </w:r>
            <w:r>
              <w:rPr>
                <w:rFonts w:hint="default" w:ascii="Times New Roman" w:hAnsi="Times New Roman" w:cs="Times New Roman"/>
                <w:b w:val="0"/>
                <w:bCs/>
                <w:sz w:val="21"/>
                <w:szCs w:val="21"/>
              </w:rPr>
              <w:t>一次性交付。</w:t>
            </w:r>
          </w:p>
          <w:p w14:paraId="0B2BBE36">
            <w:pPr>
              <w:keepNext w:val="0"/>
              <w:keepLines w:val="0"/>
              <w:pageBreakBefore w:val="0"/>
              <w:widowControl w:val="0"/>
              <w:tabs>
                <w:tab w:val="left" w:pos="6915"/>
              </w:tabs>
              <w:kinsoku/>
              <w:topLinePunct w:val="0"/>
              <w:autoSpaceDE/>
              <w:autoSpaceDN/>
              <w:bidi w:val="0"/>
              <w:adjustRightInd w:val="0"/>
              <w:snapToGrid w:val="0"/>
              <w:spacing w:line="240" w:lineRule="auto"/>
              <w:jc w:val="left"/>
              <w:textAlignment w:val="auto"/>
              <w:rPr>
                <w:rFonts w:hint="default" w:ascii="Times New Roman" w:hAnsi="Times New Roman" w:cs="Times New Roman"/>
                <w:b w:val="0"/>
                <w:bCs/>
                <w:sz w:val="21"/>
                <w:szCs w:val="21"/>
                <w:lang w:val="en-US" w:eastAsia="zh-CN"/>
              </w:rPr>
            </w:pPr>
            <w:r>
              <w:rPr>
                <w:rFonts w:hint="default" w:ascii="Times New Roman" w:hAnsi="Times New Roman" w:cs="Times New Roman"/>
                <w:b/>
                <w:bCs w:val="0"/>
                <w:sz w:val="21"/>
                <w:szCs w:val="21"/>
              </w:rPr>
              <w:t>付款方式：</w:t>
            </w:r>
            <w:r>
              <w:rPr>
                <w:rFonts w:hint="default" w:ascii="Times New Roman" w:hAnsi="Times New Roman" w:cs="Times New Roman"/>
                <w:b w:val="0"/>
                <w:bCs/>
                <w:sz w:val="21"/>
                <w:szCs w:val="21"/>
                <w:lang w:val="en-US" w:eastAsia="zh-CN"/>
              </w:rPr>
              <w:t>合同签订后，采购方支付合同总金额的50%作为预付款；货物到达指定地点并验收合格后，采购方于30个工作日内支付剩余合同款。实际结算金额按照合同约定的单价及验收确认的靶材实际重量计算。</w:t>
            </w:r>
          </w:p>
          <w:p w14:paraId="178A0D5D">
            <w:pPr>
              <w:keepNext w:val="0"/>
              <w:keepLines w:val="0"/>
              <w:pageBreakBefore w:val="0"/>
              <w:widowControl w:val="0"/>
              <w:tabs>
                <w:tab w:val="left" w:pos="6915"/>
              </w:tabs>
              <w:kinsoku/>
              <w:topLinePunct w:val="0"/>
              <w:autoSpaceDE/>
              <w:autoSpaceDN/>
              <w:bidi w:val="0"/>
              <w:adjustRightInd w:val="0"/>
              <w:snapToGrid w:val="0"/>
              <w:spacing w:line="240" w:lineRule="auto"/>
              <w:jc w:val="left"/>
              <w:textAlignment w:val="auto"/>
              <w:rPr>
                <w:rFonts w:hint="default" w:ascii="Times New Roman" w:hAnsi="Times New Roman" w:cs="Times New Roman"/>
                <w:b/>
                <w:bCs w:val="0"/>
                <w:sz w:val="21"/>
                <w:szCs w:val="21"/>
                <w:lang w:val="en-US" w:eastAsia="zh-CN"/>
              </w:rPr>
            </w:pPr>
            <w:r>
              <w:rPr>
                <w:rFonts w:hint="default" w:ascii="Times New Roman" w:hAnsi="Times New Roman" w:cs="Times New Roman"/>
                <w:b/>
                <w:bCs w:val="0"/>
                <w:sz w:val="21"/>
                <w:szCs w:val="21"/>
                <w:lang w:val="en-US" w:eastAsia="zh-CN"/>
              </w:rPr>
              <w:t>验收指标及验收要求：</w:t>
            </w:r>
          </w:p>
          <w:p w14:paraId="3BDD9C2D">
            <w:pPr>
              <w:keepNext w:val="0"/>
              <w:keepLines w:val="0"/>
              <w:pageBreakBefore w:val="0"/>
              <w:widowControl w:val="0"/>
              <w:tabs>
                <w:tab w:val="left" w:pos="6915"/>
              </w:tabs>
              <w:kinsoku/>
              <w:topLinePunct w:val="0"/>
              <w:autoSpaceDE/>
              <w:autoSpaceDN/>
              <w:bidi w:val="0"/>
              <w:adjustRightInd w:val="0"/>
              <w:snapToGrid w:val="0"/>
              <w:spacing w:line="240" w:lineRule="auto"/>
              <w:jc w:val="both"/>
              <w:textAlignment w:val="auto"/>
              <w:rPr>
                <w:rFonts w:hint="default" w:ascii="Times New Roman" w:hAnsi="Times New Roman" w:cs="Times New Roman"/>
                <w:b w:val="0"/>
                <w:bCs/>
                <w:sz w:val="21"/>
                <w:szCs w:val="21"/>
                <w:lang w:val="en-US" w:eastAsia="zh-CN"/>
              </w:rPr>
            </w:pPr>
            <w:r>
              <w:rPr>
                <w:rFonts w:hint="default" w:ascii="Times New Roman" w:hAnsi="Times New Roman" w:cs="Times New Roman"/>
                <w:b w:val="0"/>
                <w:bCs/>
                <w:sz w:val="21"/>
                <w:szCs w:val="21"/>
                <w:lang w:val="en-US" w:eastAsia="zh-CN"/>
              </w:rPr>
              <w:t>本项目以合同、本询价要求及成交供应商响应文件中约定的技术参数和商务要求为验收依据，通过资料审查、外观检查、尺寸测量、称重及必要的检测等方式进行验收。</w:t>
            </w: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471"/>
              <w:gridCol w:w="715"/>
              <w:gridCol w:w="1787"/>
              <w:gridCol w:w="2123"/>
            </w:tblGrid>
            <w:tr w14:paraId="00228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90" w:hRule="atLeast"/>
                <w:jc w:val="center"/>
              </w:trPr>
              <w:tc>
                <w:tcPr>
                  <w:tcW w:w="0" w:type="auto"/>
                  <w:tcBorders>
                    <w:tl2br w:val="nil"/>
                    <w:tr2bl w:val="nil"/>
                  </w:tcBorders>
                  <w:shd w:val="clear" w:color="auto" w:fill="auto"/>
                  <w:tcMar>
                    <w:top w:w="120" w:type="dxa"/>
                    <w:left w:w="120" w:type="dxa"/>
                    <w:bottom w:w="120" w:type="dxa"/>
                    <w:right w:w="120" w:type="dxa"/>
                  </w:tcMar>
                  <w:vAlign w:val="center"/>
                </w:tcPr>
                <w:p w14:paraId="63E0DD5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line="240" w:lineRule="auto"/>
                    <w:jc w:val="left"/>
                    <w:textAlignment w:val="center"/>
                    <w:rPr>
                      <w:rStyle w:val="5"/>
                      <w:rFonts w:hint="default" w:ascii="Times New Roman" w:hAnsi="Times New Roman" w:eastAsia="宋体" w:cs="Times New Roman"/>
                      <w:b w:val="0"/>
                      <w:bCs/>
                      <w:color w:val="000000"/>
                      <w:kern w:val="0"/>
                      <w:sz w:val="21"/>
                      <w:szCs w:val="21"/>
                      <w:lang w:val="en-US" w:eastAsia="zh-CN" w:bidi="ar"/>
                    </w:rPr>
                  </w:pPr>
                  <w:r>
                    <w:rPr>
                      <w:rStyle w:val="5"/>
                      <w:rFonts w:hint="default" w:ascii="Times New Roman" w:hAnsi="Times New Roman" w:eastAsia="宋体" w:cs="Times New Roman"/>
                      <w:b w:val="0"/>
                      <w:bCs/>
                      <w:color w:val="000000"/>
                      <w:kern w:val="0"/>
                      <w:sz w:val="21"/>
                      <w:szCs w:val="21"/>
                      <w:lang w:val="en-US" w:eastAsia="zh-CN" w:bidi="ar"/>
                    </w:rPr>
                    <w:t>序号</w:t>
                  </w:r>
                </w:p>
              </w:tc>
              <w:tc>
                <w:tcPr>
                  <w:tcW w:w="715" w:type="dxa"/>
                  <w:tcBorders>
                    <w:tl2br w:val="nil"/>
                    <w:tr2bl w:val="nil"/>
                  </w:tcBorders>
                  <w:shd w:val="clear" w:color="auto" w:fill="auto"/>
                  <w:tcMar>
                    <w:top w:w="120" w:type="dxa"/>
                    <w:left w:w="120" w:type="dxa"/>
                    <w:bottom w:w="120" w:type="dxa"/>
                    <w:right w:w="120" w:type="dxa"/>
                  </w:tcMar>
                  <w:vAlign w:val="center"/>
                </w:tcPr>
                <w:p w14:paraId="10843BB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line="240" w:lineRule="auto"/>
                    <w:jc w:val="center"/>
                    <w:textAlignment w:val="center"/>
                    <w:rPr>
                      <w:rFonts w:hint="default" w:ascii="Times New Roman" w:hAnsi="Times New Roman" w:cs="Times New Roman"/>
                      <w:b w:val="0"/>
                      <w:bCs/>
                      <w:sz w:val="21"/>
                      <w:szCs w:val="21"/>
                    </w:rPr>
                  </w:pPr>
                  <w:r>
                    <w:rPr>
                      <w:rStyle w:val="5"/>
                      <w:rFonts w:hint="default" w:ascii="Times New Roman" w:hAnsi="Times New Roman" w:eastAsia="宋体" w:cs="Times New Roman"/>
                      <w:b w:val="0"/>
                      <w:bCs/>
                      <w:color w:val="000000"/>
                      <w:kern w:val="0"/>
                      <w:sz w:val="21"/>
                      <w:szCs w:val="21"/>
                      <w:lang w:val="en-US" w:eastAsia="zh-CN" w:bidi="ar"/>
                    </w:rPr>
                    <w:t>验收项目</w:t>
                  </w:r>
                </w:p>
              </w:tc>
              <w:tc>
                <w:tcPr>
                  <w:tcW w:w="1787" w:type="dxa"/>
                  <w:tcBorders>
                    <w:tl2br w:val="nil"/>
                    <w:tr2bl w:val="nil"/>
                  </w:tcBorders>
                  <w:shd w:val="clear" w:color="auto" w:fill="auto"/>
                  <w:tcMar>
                    <w:top w:w="120" w:type="dxa"/>
                    <w:left w:w="120" w:type="dxa"/>
                    <w:bottom w:w="120" w:type="dxa"/>
                    <w:right w:w="120" w:type="dxa"/>
                  </w:tcMar>
                  <w:vAlign w:val="center"/>
                </w:tcPr>
                <w:p w14:paraId="6C7A6A1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line="240" w:lineRule="auto"/>
                    <w:jc w:val="center"/>
                    <w:textAlignment w:val="center"/>
                    <w:rPr>
                      <w:rFonts w:hint="default" w:ascii="Times New Roman" w:hAnsi="Times New Roman" w:cs="Times New Roman"/>
                      <w:b w:val="0"/>
                      <w:bCs/>
                      <w:sz w:val="21"/>
                      <w:szCs w:val="21"/>
                    </w:rPr>
                  </w:pPr>
                  <w:r>
                    <w:rPr>
                      <w:rStyle w:val="5"/>
                      <w:rFonts w:hint="default" w:ascii="Times New Roman" w:hAnsi="Times New Roman" w:eastAsia="宋体" w:cs="Times New Roman"/>
                      <w:b w:val="0"/>
                      <w:bCs/>
                      <w:color w:val="000000"/>
                      <w:kern w:val="0"/>
                      <w:sz w:val="21"/>
                      <w:szCs w:val="21"/>
                      <w:lang w:val="en-US" w:eastAsia="zh-CN" w:bidi="ar"/>
                    </w:rPr>
                    <w:t>验收指标及技术要求</w:t>
                  </w:r>
                </w:p>
              </w:tc>
              <w:tc>
                <w:tcPr>
                  <w:tcW w:w="2123" w:type="dxa"/>
                  <w:tcBorders>
                    <w:tl2br w:val="nil"/>
                    <w:tr2bl w:val="nil"/>
                  </w:tcBorders>
                  <w:shd w:val="clear" w:color="auto" w:fill="auto"/>
                  <w:tcMar>
                    <w:top w:w="120" w:type="dxa"/>
                    <w:left w:w="120" w:type="dxa"/>
                    <w:bottom w:w="120" w:type="dxa"/>
                    <w:right w:w="120" w:type="dxa"/>
                  </w:tcMar>
                  <w:vAlign w:val="center"/>
                </w:tcPr>
                <w:p w14:paraId="26A167A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line="240" w:lineRule="auto"/>
                    <w:jc w:val="center"/>
                    <w:textAlignment w:val="center"/>
                    <w:rPr>
                      <w:rFonts w:hint="default" w:ascii="Times New Roman" w:hAnsi="Times New Roman" w:cs="Times New Roman"/>
                      <w:b w:val="0"/>
                      <w:bCs/>
                      <w:sz w:val="21"/>
                      <w:szCs w:val="21"/>
                    </w:rPr>
                  </w:pPr>
                  <w:r>
                    <w:rPr>
                      <w:rStyle w:val="5"/>
                      <w:rFonts w:hint="default" w:ascii="Times New Roman" w:hAnsi="Times New Roman" w:eastAsia="宋体" w:cs="Times New Roman"/>
                      <w:b w:val="0"/>
                      <w:bCs/>
                      <w:color w:val="000000"/>
                      <w:kern w:val="0"/>
                      <w:sz w:val="21"/>
                      <w:szCs w:val="21"/>
                      <w:lang w:val="en-US" w:eastAsia="zh-CN" w:bidi="ar"/>
                    </w:rPr>
                    <w:t>验收方法及证明材料</w:t>
                  </w:r>
                </w:p>
              </w:tc>
            </w:tr>
            <w:tr w14:paraId="632F7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828" w:hRule="atLeast"/>
                <w:jc w:val="center"/>
              </w:trPr>
              <w:tc>
                <w:tcPr>
                  <w:tcW w:w="0" w:type="auto"/>
                  <w:tcBorders>
                    <w:tl2br w:val="nil"/>
                    <w:tr2bl w:val="nil"/>
                  </w:tcBorders>
                  <w:shd w:val="clear" w:color="auto" w:fill="auto"/>
                  <w:tcMar>
                    <w:top w:w="120" w:type="dxa"/>
                    <w:left w:w="120" w:type="dxa"/>
                    <w:bottom w:w="120" w:type="dxa"/>
                    <w:right w:w="120" w:type="dxa"/>
                  </w:tcMar>
                  <w:vAlign w:val="center"/>
                </w:tcPr>
                <w:p w14:paraId="6819072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line="240" w:lineRule="auto"/>
                    <w:jc w:val="center"/>
                    <w:textAlignment w:val="center"/>
                    <w:rPr>
                      <w:rStyle w:val="5"/>
                      <w:rFonts w:hint="default" w:ascii="Times New Roman" w:hAnsi="Times New Roman" w:eastAsia="宋体" w:cs="Times New Roman"/>
                      <w:b w:val="0"/>
                      <w:bCs/>
                      <w:color w:val="000000"/>
                      <w:kern w:val="0"/>
                      <w:sz w:val="21"/>
                      <w:szCs w:val="21"/>
                      <w:lang w:val="en-US" w:eastAsia="zh-CN" w:bidi="ar"/>
                    </w:rPr>
                  </w:pPr>
                  <w:r>
                    <w:rPr>
                      <w:rStyle w:val="5"/>
                      <w:rFonts w:hint="default" w:ascii="Times New Roman" w:hAnsi="Times New Roman" w:eastAsia="宋体" w:cs="Times New Roman"/>
                      <w:b w:val="0"/>
                      <w:bCs/>
                      <w:color w:val="000000"/>
                      <w:kern w:val="0"/>
                      <w:sz w:val="21"/>
                      <w:szCs w:val="21"/>
                      <w:lang w:val="en-US" w:eastAsia="zh-CN" w:bidi="ar"/>
                    </w:rPr>
                    <w:t>1</w:t>
                  </w:r>
                </w:p>
              </w:tc>
              <w:tc>
                <w:tcPr>
                  <w:tcW w:w="715" w:type="dxa"/>
                  <w:tcBorders>
                    <w:tl2br w:val="nil"/>
                    <w:tr2bl w:val="nil"/>
                  </w:tcBorders>
                  <w:shd w:val="clear" w:color="auto" w:fill="auto"/>
                  <w:tcMar>
                    <w:top w:w="120" w:type="dxa"/>
                    <w:left w:w="120" w:type="dxa"/>
                    <w:bottom w:w="120" w:type="dxa"/>
                    <w:right w:w="120" w:type="dxa"/>
                  </w:tcMar>
                  <w:vAlign w:val="center"/>
                </w:tcPr>
                <w:p w14:paraId="478A8E9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line="240" w:lineRule="auto"/>
                    <w:jc w:val="center"/>
                    <w:textAlignment w:val="center"/>
                    <w:rPr>
                      <w:rFonts w:hint="default" w:ascii="Times New Roman" w:hAnsi="Times New Roman" w:cs="Times New Roman"/>
                      <w:b w:val="0"/>
                      <w:bCs/>
                      <w:sz w:val="21"/>
                      <w:szCs w:val="21"/>
                    </w:rPr>
                  </w:pPr>
                  <w:r>
                    <w:rPr>
                      <w:rStyle w:val="5"/>
                      <w:rFonts w:hint="default" w:ascii="Times New Roman" w:hAnsi="Times New Roman" w:eastAsia="宋体" w:cs="Times New Roman"/>
                      <w:b w:val="0"/>
                      <w:bCs/>
                      <w:color w:val="000000"/>
                      <w:kern w:val="0"/>
                      <w:sz w:val="21"/>
                      <w:szCs w:val="21"/>
                      <w:lang w:val="en-US" w:eastAsia="zh-CN" w:bidi="ar"/>
                    </w:rPr>
                    <w:t>靶材材料</w:t>
                  </w:r>
                </w:p>
              </w:tc>
              <w:tc>
                <w:tcPr>
                  <w:tcW w:w="1787" w:type="dxa"/>
                  <w:tcBorders>
                    <w:tl2br w:val="nil"/>
                    <w:tr2bl w:val="nil"/>
                  </w:tcBorders>
                  <w:shd w:val="clear" w:color="auto" w:fill="auto"/>
                  <w:tcMar>
                    <w:top w:w="120" w:type="dxa"/>
                    <w:left w:w="120" w:type="dxa"/>
                    <w:bottom w:w="120" w:type="dxa"/>
                    <w:right w:w="120" w:type="dxa"/>
                  </w:tcMar>
                  <w:vAlign w:val="center"/>
                </w:tcPr>
                <w:p w14:paraId="0519336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line="240" w:lineRule="auto"/>
                    <w:jc w:val="left"/>
                    <w:textAlignment w:val="center"/>
                    <w:rPr>
                      <w:rFonts w:hint="default" w:ascii="Times New Roman" w:hAnsi="Times New Roman" w:cs="Times New Roman"/>
                      <w:b w:val="0"/>
                      <w:bCs/>
                      <w:sz w:val="21"/>
                      <w:szCs w:val="21"/>
                    </w:rPr>
                  </w:pPr>
                  <w:r>
                    <w:rPr>
                      <w:rStyle w:val="5"/>
                      <w:rFonts w:hint="default" w:ascii="Times New Roman" w:hAnsi="Times New Roman" w:eastAsia="宋体" w:cs="Times New Roman"/>
                      <w:b w:val="0"/>
                      <w:bCs/>
                      <w:color w:val="000000"/>
                      <w:kern w:val="0"/>
                      <w:sz w:val="21"/>
                      <w:szCs w:val="21"/>
                      <w:lang w:val="en-US" w:eastAsia="zh-CN" w:bidi="ar"/>
                    </w:rPr>
                    <w:t>靶材包括金(Au)、铂(Pt)、钌(Ru)、钴(Co)、镍(Ni)和铁(Fe)，材料种类须与供货清单及合同约定一致。</w:t>
                  </w:r>
                </w:p>
              </w:tc>
              <w:tc>
                <w:tcPr>
                  <w:tcW w:w="2123" w:type="dxa"/>
                  <w:tcBorders>
                    <w:tl2br w:val="nil"/>
                    <w:tr2bl w:val="nil"/>
                  </w:tcBorders>
                  <w:shd w:val="clear" w:color="auto" w:fill="auto"/>
                  <w:tcMar>
                    <w:top w:w="120" w:type="dxa"/>
                    <w:left w:w="120" w:type="dxa"/>
                    <w:bottom w:w="120" w:type="dxa"/>
                    <w:right w:w="120" w:type="dxa"/>
                  </w:tcMar>
                  <w:vAlign w:val="center"/>
                </w:tcPr>
                <w:p w14:paraId="3C41E70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line="240" w:lineRule="auto"/>
                    <w:jc w:val="left"/>
                    <w:textAlignment w:val="center"/>
                    <w:rPr>
                      <w:rFonts w:hint="default" w:ascii="Times New Roman" w:hAnsi="Times New Roman" w:cs="Times New Roman"/>
                      <w:b w:val="0"/>
                      <w:bCs/>
                      <w:sz w:val="21"/>
                      <w:szCs w:val="21"/>
                    </w:rPr>
                  </w:pPr>
                  <w:r>
                    <w:rPr>
                      <w:rStyle w:val="5"/>
                      <w:rFonts w:hint="default" w:ascii="Times New Roman" w:hAnsi="Times New Roman" w:eastAsia="宋体" w:cs="Times New Roman"/>
                      <w:b w:val="0"/>
                      <w:bCs/>
                      <w:color w:val="000000"/>
                      <w:kern w:val="0"/>
                      <w:sz w:val="21"/>
                      <w:szCs w:val="21"/>
                      <w:lang w:val="en-US" w:eastAsia="zh-CN" w:bidi="ar"/>
                    </w:rPr>
                    <w:t>逐项核对供货清单、产品标识及实物，确认六种靶材材料齐全且标识一致。</w:t>
                  </w:r>
                </w:p>
              </w:tc>
            </w:tr>
            <w:tr w14:paraId="2B8C3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85" w:hRule="atLeast"/>
                <w:jc w:val="center"/>
              </w:trPr>
              <w:tc>
                <w:tcPr>
                  <w:tcW w:w="0" w:type="auto"/>
                  <w:tcBorders>
                    <w:tl2br w:val="nil"/>
                    <w:tr2bl w:val="nil"/>
                  </w:tcBorders>
                  <w:shd w:val="clear" w:color="auto" w:fill="auto"/>
                  <w:tcMar>
                    <w:top w:w="120" w:type="dxa"/>
                    <w:left w:w="120" w:type="dxa"/>
                    <w:bottom w:w="120" w:type="dxa"/>
                    <w:right w:w="120" w:type="dxa"/>
                  </w:tcMar>
                  <w:vAlign w:val="center"/>
                </w:tcPr>
                <w:p w14:paraId="35B9AB4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line="240" w:lineRule="auto"/>
                    <w:jc w:val="center"/>
                    <w:textAlignment w:val="center"/>
                    <w:rPr>
                      <w:rFonts w:hint="default" w:ascii="Times New Roman" w:hAnsi="Times New Roman" w:cs="Times New Roman"/>
                      <w:b w:val="0"/>
                      <w:bCs/>
                      <w:sz w:val="21"/>
                      <w:szCs w:val="21"/>
                    </w:rPr>
                  </w:pPr>
                  <w:r>
                    <w:rPr>
                      <w:rStyle w:val="5"/>
                      <w:rFonts w:hint="default" w:ascii="Times New Roman" w:hAnsi="Times New Roman" w:eastAsia="宋体" w:cs="Times New Roman"/>
                      <w:b w:val="0"/>
                      <w:bCs/>
                      <w:color w:val="000000"/>
                      <w:kern w:val="0"/>
                      <w:sz w:val="21"/>
                      <w:szCs w:val="21"/>
                      <w:lang w:val="en-US" w:eastAsia="zh-CN" w:bidi="ar"/>
                    </w:rPr>
                    <w:t>2</w:t>
                  </w:r>
                </w:p>
              </w:tc>
              <w:tc>
                <w:tcPr>
                  <w:tcW w:w="715" w:type="dxa"/>
                  <w:tcBorders>
                    <w:tl2br w:val="nil"/>
                    <w:tr2bl w:val="nil"/>
                  </w:tcBorders>
                  <w:shd w:val="clear" w:color="auto" w:fill="auto"/>
                  <w:tcMar>
                    <w:top w:w="120" w:type="dxa"/>
                    <w:left w:w="120" w:type="dxa"/>
                    <w:bottom w:w="120" w:type="dxa"/>
                    <w:right w:w="120" w:type="dxa"/>
                  </w:tcMar>
                  <w:vAlign w:val="center"/>
                </w:tcPr>
                <w:p w14:paraId="6F5B27D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line="240" w:lineRule="auto"/>
                    <w:jc w:val="center"/>
                    <w:textAlignment w:val="center"/>
                    <w:rPr>
                      <w:rFonts w:hint="default" w:ascii="Times New Roman" w:hAnsi="Times New Roman" w:cs="Times New Roman"/>
                      <w:b w:val="0"/>
                      <w:bCs/>
                      <w:sz w:val="21"/>
                      <w:szCs w:val="21"/>
                    </w:rPr>
                  </w:pPr>
                  <w:r>
                    <w:rPr>
                      <w:rStyle w:val="5"/>
                      <w:rFonts w:hint="default" w:ascii="Times New Roman" w:hAnsi="Times New Roman" w:eastAsia="宋体" w:cs="Times New Roman"/>
                      <w:b w:val="0"/>
                      <w:bCs/>
                      <w:color w:val="000000"/>
                      <w:kern w:val="0"/>
                      <w:sz w:val="21"/>
                      <w:szCs w:val="21"/>
                      <w:lang w:val="en-US" w:eastAsia="zh-CN" w:bidi="ar"/>
                    </w:rPr>
                    <w:t>靶材结构</w:t>
                  </w:r>
                </w:p>
              </w:tc>
              <w:tc>
                <w:tcPr>
                  <w:tcW w:w="1787" w:type="dxa"/>
                  <w:tcBorders>
                    <w:tl2br w:val="nil"/>
                    <w:tr2bl w:val="nil"/>
                  </w:tcBorders>
                  <w:shd w:val="clear" w:color="auto" w:fill="auto"/>
                  <w:tcMar>
                    <w:top w:w="120" w:type="dxa"/>
                    <w:left w:w="120" w:type="dxa"/>
                    <w:bottom w:w="120" w:type="dxa"/>
                    <w:right w:w="120" w:type="dxa"/>
                  </w:tcMar>
                  <w:vAlign w:val="center"/>
                </w:tcPr>
                <w:p w14:paraId="0EC8388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line="240" w:lineRule="auto"/>
                    <w:jc w:val="left"/>
                    <w:textAlignment w:val="center"/>
                    <w:rPr>
                      <w:rFonts w:hint="default" w:ascii="Times New Roman" w:hAnsi="Times New Roman" w:cs="Times New Roman"/>
                      <w:b w:val="0"/>
                      <w:bCs/>
                      <w:sz w:val="21"/>
                      <w:szCs w:val="21"/>
                    </w:rPr>
                  </w:pPr>
                  <w:r>
                    <w:rPr>
                      <w:rStyle w:val="5"/>
                      <w:rFonts w:hint="default" w:ascii="Times New Roman" w:hAnsi="Times New Roman" w:eastAsia="宋体" w:cs="Times New Roman"/>
                      <w:b w:val="0"/>
                      <w:bCs/>
                      <w:color w:val="000000"/>
                      <w:kern w:val="0"/>
                      <w:sz w:val="21"/>
                      <w:szCs w:val="21"/>
                      <w:lang w:val="en-US" w:eastAsia="zh-CN" w:bidi="ar"/>
                    </w:rPr>
                    <w:t>采用铜(Cu)基底，基底表面镀覆相应的靶材金属层；铜基底纯度不低于99.99%。</w:t>
                  </w:r>
                </w:p>
              </w:tc>
              <w:tc>
                <w:tcPr>
                  <w:tcW w:w="2123" w:type="dxa"/>
                  <w:tcBorders>
                    <w:tl2br w:val="nil"/>
                    <w:tr2bl w:val="nil"/>
                  </w:tcBorders>
                  <w:shd w:val="clear" w:color="auto" w:fill="auto"/>
                  <w:tcMar>
                    <w:top w:w="120" w:type="dxa"/>
                    <w:left w:w="120" w:type="dxa"/>
                    <w:bottom w:w="120" w:type="dxa"/>
                    <w:right w:w="120" w:type="dxa"/>
                  </w:tcMar>
                  <w:vAlign w:val="center"/>
                </w:tcPr>
                <w:p w14:paraId="4765120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line="240" w:lineRule="auto"/>
                    <w:jc w:val="left"/>
                    <w:textAlignment w:val="center"/>
                    <w:rPr>
                      <w:rFonts w:hint="default" w:ascii="Times New Roman" w:hAnsi="Times New Roman" w:cs="Times New Roman"/>
                      <w:b w:val="0"/>
                      <w:bCs/>
                      <w:sz w:val="21"/>
                      <w:szCs w:val="21"/>
                    </w:rPr>
                  </w:pPr>
                  <w:r>
                    <w:rPr>
                      <w:rStyle w:val="5"/>
                      <w:rFonts w:hint="default" w:ascii="Times New Roman" w:hAnsi="Times New Roman" w:eastAsia="宋体" w:cs="Times New Roman"/>
                      <w:b w:val="0"/>
                      <w:bCs/>
                      <w:color w:val="000000"/>
                      <w:kern w:val="0"/>
                      <w:sz w:val="21"/>
                      <w:szCs w:val="21"/>
                      <w:lang w:val="en-US" w:eastAsia="zh-CN" w:bidi="ar"/>
                    </w:rPr>
                    <w:t>核查产品结构、材质证明及检测报告</w:t>
                  </w:r>
                  <w:r>
                    <w:rPr>
                      <w:rStyle w:val="5"/>
                      <w:rFonts w:hint="eastAsia" w:ascii="Times New Roman" w:hAnsi="Times New Roman" w:eastAsia="宋体" w:cs="Times New Roman"/>
                      <w:b w:val="0"/>
                      <w:bCs/>
                      <w:color w:val="000000"/>
                      <w:kern w:val="0"/>
                      <w:sz w:val="21"/>
                      <w:szCs w:val="21"/>
                      <w:lang w:val="en-US" w:eastAsia="zh-CN" w:bidi="ar"/>
                    </w:rPr>
                    <w:t>。</w:t>
                  </w:r>
                </w:p>
              </w:tc>
            </w:tr>
            <w:tr w14:paraId="1EC61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253" w:hRule="atLeast"/>
                <w:jc w:val="center"/>
              </w:trPr>
              <w:tc>
                <w:tcPr>
                  <w:tcW w:w="0" w:type="auto"/>
                  <w:tcBorders>
                    <w:tl2br w:val="nil"/>
                    <w:tr2bl w:val="nil"/>
                  </w:tcBorders>
                  <w:shd w:val="clear" w:color="auto" w:fill="auto"/>
                  <w:tcMar>
                    <w:top w:w="120" w:type="dxa"/>
                    <w:left w:w="120" w:type="dxa"/>
                    <w:bottom w:w="120" w:type="dxa"/>
                    <w:right w:w="120" w:type="dxa"/>
                  </w:tcMar>
                  <w:vAlign w:val="center"/>
                </w:tcPr>
                <w:p w14:paraId="554F833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line="240" w:lineRule="auto"/>
                    <w:jc w:val="center"/>
                    <w:textAlignment w:val="center"/>
                    <w:rPr>
                      <w:rFonts w:hint="default" w:ascii="Times New Roman" w:hAnsi="Times New Roman" w:cs="Times New Roman"/>
                      <w:b w:val="0"/>
                      <w:bCs/>
                      <w:sz w:val="21"/>
                      <w:szCs w:val="21"/>
                    </w:rPr>
                  </w:pPr>
                  <w:r>
                    <w:rPr>
                      <w:rStyle w:val="5"/>
                      <w:rFonts w:hint="default" w:ascii="Times New Roman" w:hAnsi="Times New Roman" w:eastAsia="宋体" w:cs="Times New Roman"/>
                      <w:b w:val="0"/>
                      <w:bCs/>
                      <w:color w:val="000000"/>
                      <w:kern w:val="0"/>
                      <w:sz w:val="21"/>
                      <w:szCs w:val="21"/>
                      <w:lang w:val="en-US" w:eastAsia="zh-CN" w:bidi="ar"/>
                    </w:rPr>
                    <w:t>3</w:t>
                  </w:r>
                </w:p>
              </w:tc>
              <w:tc>
                <w:tcPr>
                  <w:tcW w:w="715" w:type="dxa"/>
                  <w:tcBorders>
                    <w:tl2br w:val="nil"/>
                    <w:tr2bl w:val="nil"/>
                  </w:tcBorders>
                  <w:shd w:val="clear" w:color="auto" w:fill="auto"/>
                  <w:tcMar>
                    <w:top w:w="120" w:type="dxa"/>
                    <w:left w:w="120" w:type="dxa"/>
                    <w:bottom w:w="120" w:type="dxa"/>
                    <w:right w:w="120" w:type="dxa"/>
                  </w:tcMar>
                  <w:vAlign w:val="center"/>
                </w:tcPr>
                <w:p w14:paraId="7F53930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line="240" w:lineRule="auto"/>
                    <w:jc w:val="center"/>
                    <w:textAlignment w:val="center"/>
                    <w:rPr>
                      <w:rFonts w:hint="default" w:ascii="Times New Roman" w:hAnsi="Times New Roman" w:cs="Times New Roman"/>
                      <w:b w:val="0"/>
                      <w:bCs/>
                      <w:sz w:val="21"/>
                      <w:szCs w:val="21"/>
                    </w:rPr>
                  </w:pPr>
                  <w:r>
                    <w:rPr>
                      <w:rStyle w:val="5"/>
                      <w:rFonts w:hint="default" w:ascii="Times New Roman" w:hAnsi="Times New Roman" w:eastAsia="宋体" w:cs="Times New Roman"/>
                      <w:b w:val="0"/>
                      <w:bCs/>
                      <w:color w:val="000000"/>
                      <w:kern w:val="0"/>
                      <w:sz w:val="21"/>
                      <w:szCs w:val="21"/>
                      <w:lang w:val="en-US" w:eastAsia="zh-CN" w:bidi="ar"/>
                    </w:rPr>
                    <w:t>靶材纯度</w:t>
                  </w:r>
                </w:p>
              </w:tc>
              <w:tc>
                <w:tcPr>
                  <w:tcW w:w="1787" w:type="dxa"/>
                  <w:tcBorders>
                    <w:tl2br w:val="nil"/>
                    <w:tr2bl w:val="nil"/>
                  </w:tcBorders>
                  <w:shd w:val="clear" w:color="auto" w:fill="auto"/>
                  <w:tcMar>
                    <w:top w:w="120" w:type="dxa"/>
                    <w:left w:w="120" w:type="dxa"/>
                    <w:bottom w:w="120" w:type="dxa"/>
                    <w:right w:w="120" w:type="dxa"/>
                  </w:tcMar>
                  <w:vAlign w:val="center"/>
                </w:tcPr>
                <w:p w14:paraId="6501A06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line="240" w:lineRule="auto"/>
                    <w:jc w:val="left"/>
                    <w:textAlignment w:val="center"/>
                    <w:rPr>
                      <w:rFonts w:hint="default" w:ascii="Times New Roman" w:hAnsi="Times New Roman" w:cs="Times New Roman"/>
                      <w:b w:val="0"/>
                      <w:bCs/>
                      <w:sz w:val="21"/>
                      <w:szCs w:val="21"/>
                    </w:rPr>
                  </w:pPr>
                  <w:r>
                    <w:rPr>
                      <w:rStyle w:val="5"/>
                      <w:rFonts w:hint="default" w:ascii="Times New Roman" w:hAnsi="Times New Roman" w:eastAsia="宋体" w:cs="Times New Roman"/>
                      <w:b w:val="0"/>
                      <w:bCs/>
                      <w:color w:val="000000"/>
                      <w:kern w:val="0"/>
                      <w:sz w:val="21"/>
                      <w:szCs w:val="21"/>
                      <w:lang w:val="en-US" w:eastAsia="zh-CN" w:bidi="ar"/>
                    </w:rPr>
                    <w:t>Au、Pt、Ru、Co、Ni和Fe靶材金属层的纯度均不低于99.95%。</w:t>
                  </w:r>
                </w:p>
              </w:tc>
              <w:tc>
                <w:tcPr>
                  <w:tcW w:w="2123" w:type="dxa"/>
                  <w:tcBorders>
                    <w:tl2br w:val="nil"/>
                    <w:tr2bl w:val="nil"/>
                  </w:tcBorders>
                  <w:shd w:val="clear" w:color="auto" w:fill="auto"/>
                  <w:tcMar>
                    <w:top w:w="120" w:type="dxa"/>
                    <w:left w:w="120" w:type="dxa"/>
                    <w:bottom w:w="120" w:type="dxa"/>
                    <w:right w:w="120" w:type="dxa"/>
                  </w:tcMar>
                  <w:vAlign w:val="center"/>
                </w:tcPr>
                <w:p w14:paraId="42C6CEE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line="240" w:lineRule="auto"/>
                    <w:jc w:val="left"/>
                    <w:textAlignment w:val="center"/>
                    <w:rPr>
                      <w:rFonts w:hint="default" w:ascii="Times New Roman" w:hAnsi="Times New Roman" w:cs="Times New Roman"/>
                      <w:b w:val="0"/>
                      <w:bCs/>
                      <w:sz w:val="21"/>
                      <w:szCs w:val="21"/>
                    </w:rPr>
                  </w:pPr>
                  <w:r>
                    <w:rPr>
                      <w:rStyle w:val="5"/>
                      <w:rFonts w:hint="default" w:ascii="Times New Roman" w:hAnsi="Times New Roman" w:eastAsia="宋体" w:cs="Times New Roman"/>
                      <w:b w:val="0"/>
                      <w:bCs/>
                      <w:color w:val="000000"/>
                      <w:kern w:val="0"/>
                      <w:sz w:val="21"/>
                      <w:szCs w:val="21"/>
                      <w:lang w:val="en-US" w:eastAsia="zh-CN" w:bidi="ar"/>
                    </w:rPr>
                    <w:t>逐项核查供应商提供的材质证明或检测报告</w:t>
                  </w:r>
                  <w:r>
                    <w:rPr>
                      <w:rStyle w:val="5"/>
                      <w:rFonts w:hint="eastAsia" w:ascii="Times New Roman" w:hAnsi="Times New Roman" w:eastAsia="宋体" w:cs="Times New Roman"/>
                      <w:b w:val="0"/>
                      <w:bCs/>
                      <w:color w:val="000000"/>
                      <w:kern w:val="0"/>
                      <w:sz w:val="21"/>
                      <w:szCs w:val="21"/>
                      <w:lang w:val="en-US" w:eastAsia="zh-CN" w:bidi="ar"/>
                    </w:rPr>
                    <w:t>。</w:t>
                  </w:r>
                </w:p>
              </w:tc>
            </w:tr>
            <w:tr w14:paraId="1D63C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365" w:hRule="atLeast"/>
                <w:jc w:val="center"/>
              </w:trPr>
              <w:tc>
                <w:tcPr>
                  <w:tcW w:w="0" w:type="auto"/>
                  <w:tcBorders>
                    <w:tl2br w:val="nil"/>
                    <w:tr2bl w:val="nil"/>
                  </w:tcBorders>
                  <w:shd w:val="clear" w:color="auto" w:fill="auto"/>
                  <w:tcMar>
                    <w:top w:w="120" w:type="dxa"/>
                    <w:left w:w="120" w:type="dxa"/>
                    <w:bottom w:w="120" w:type="dxa"/>
                    <w:right w:w="120" w:type="dxa"/>
                  </w:tcMar>
                  <w:vAlign w:val="center"/>
                </w:tcPr>
                <w:p w14:paraId="2445F91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line="240" w:lineRule="auto"/>
                    <w:jc w:val="center"/>
                    <w:textAlignment w:val="center"/>
                    <w:rPr>
                      <w:rFonts w:hint="default" w:ascii="Times New Roman" w:hAnsi="Times New Roman" w:cs="Times New Roman"/>
                      <w:b w:val="0"/>
                      <w:bCs/>
                      <w:sz w:val="21"/>
                      <w:szCs w:val="21"/>
                    </w:rPr>
                  </w:pPr>
                  <w:r>
                    <w:rPr>
                      <w:rStyle w:val="5"/>
                      <w:rFonts w:hint="default" w:ascii="Times New Roman" w:hAnsi="Times New Roman" w:eastAsia="宋体" w:cs="Times New Roman"/>
                      <w:b w:val="0"/>
                      <w:bCs/>
                      <w:color w:val="000000"/>
                      <w:kern w:val="0"/>
                      <w:sz w:val="21"/>
                      <w:szCs w:val="21"/>
                      <w:lang w:val="en-US" w:eastAsia="zh-CN" w:bidi="ar"/>
                    </w:rPr>
                    <w:t>4</w:t>
                  </w:r>
                </w:p>
              </w:tc>
              <w:tc>
                <w:tcPr>
                  <w:tcW w:w="715" w:type="dxa"/>
                  <w:tcBorders>
                    <w:tl2br w:val="nil"/>
                    <w:tr2bl w:val="nil"/>
                  </w:tcBorders>
                  <w:shd w:val="clear" w:color="auto" w:fill="auto"/>
                  <w:tcMar>
                    <w:top w:w="120" w:type="dxa"/>
                    <w:left w:w="120" w:type="dxa"/>
                    <w:bottom w:w="120" w:type="dxa"/>
                    <w:right w:w="120" w:type="dxa"/>
                  </w:tcMar>
                  <w:vAlign w:val="center"/>
                </w:tcPr>
                <w:p w14:paraId="63B3A7A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line="240" w:lineRule="auto"/>
                    <w:jc w:val="center"/>
                    <w:textAlignment w:val="center"/>
                    <w:rPr>
                      <w:rFonts w:hint="default" w:ascii="Times New Roman" w:hAnsi="Times New Roman" w:cs="Times New Roman"/>
                      <w:b w:val="0"/>
                      <w:bCs/>
                      <w:sz w:val="21"/>
                      <w:szCs w:val="21"/>
                    </w:rPr>
                  </w:pPr>
                  <w:r>
                    <w:rPr>
                      <w:rStyle w:val="5"/>
                      <w:rFonts w:hint="default" w:ascii="Times New Roman" w:hAnsi="Times New Roman" w:eastAsia="宋体" w:cs="Times New Roman"/>
                      <w:b w:val="0"/>
                      <w:bCs/>
                      <w:color w:val="000000"/>
                      <w:kern w:val="0"/>
                      <w:sz w:val="21"/>
                      <w:szCs w:val="21"/>
                      <w:lang w:val="en-US" w:eastAsia="zh-CN" w:bidi="ar"/>
                    </w:rPr>
                    <w:t>靶材尺寸</w:t>
                  </w:r>
                </w:p>
              </w:tc>
              <w:tc>
                <w:tcPr>
                  <w:tcW w:w="1787" w:type="dxa"/>
                  <w:tcBorders>
                    <w:tl2br w:val="nil"/>
                    <w:tr2bl w:val="nil"/>
                  </w:tcBorders>
                  <w:shd w:val="clear" w:color="auto" w:fill="auto"/>
                  <w:tcMar>
                    <w:top w:w="120" w:type="dxa"/>
                    <w:left w:w="120" w:type="dxa"/>
                    <w:bottom w:w="120" w:type="dxa"/>
                    <w:right w:w="120" w:type="dxa"/>
                  </w:tcMar>
                  <w:vAlign w:val="center"/>
                </w:tcPr>
                <w:p w14:paraId="17188E7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line="240" w:lineRule="auto"/>
                    <w:jc w:val="left"/>
                    <w:textAlignment w:val="center"/>
                    <w:rPr>
                      <w:rFonts w:hint="default" w:ascii="Times New Roman" w:hAnsi="Times New Roman" w:cs="Times New Roman"/>
                      <w:b w:val="0"/>
                      <w:bCs/>
                      <w:sz w:val="21"/>
                      <w:szCs w:val="21"/>
                    </w:rPr>
                  </w:pPr>
                  <w:r>
                    <w:rPr>
                      <w:rStyle w:val="5"/>
                      <w:rFonts w:hint="default" w:ascii="Times New Roman" w:hAnsi="Times New Roman" w:eastAsia="宋体" w:cs="Times New Roman"/>
                      <w:b w:val="0"/>
                      <w:bCs/>
                      <w:color w:val="000000"/>
                      <w:kern w:val="0"/>
                      <w:sz w:val="21"/>
                      <w:szCs w:val="21"/>
                      <w:lang w:val="en-US" w:eastAsia="zh-CN" w:bidi="ar"/>
                    </w:rPr>
                    <w:t>Au、Pt、Co、Ni和Fe靶材直径不小于2英寸(50.8mm)，靶材金属层厚度不小于1.5mm；Ru靶材直径不小于2英寸(50.8mm)，靶材金属层厚度不小于2.0mm。</w:t>
                  </w:r>
                </w:p>
              </w:tc>
              <w:tc>
                <w:tcPr>
                  <w:tcW w:w="2123" w:type="dxa"/>
                  <w:tcBorders>
                    <w:tl2br w:val="nil"/>
                    <w:tr2bl w:val="nil"/>
                  </w:tcBorders>
                  <w:shd w:val="clear" w:color="auto" w:fill="auto"/>
                  <w:tcMar>
                    <w:top w:w="120" w:type="dxa"/>
                    <w:left w:w="120" w:type="dxa"/>
                    <w:bottom w:w="120" w:type="dxa"/>
                    <w:right w:w="120" w:type="dxa"/>
                  </w:tcMar>
                  <w:vAlign w:val="center"/>
                </w:tcPr>
                <w:p w14:paraId="2562DFC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line="240" w:lineRule="auto"/>
                    <w:jc w:val="left"/>
                    <w:textAlignment w:val="center"/>
                    <w:rPr>
                      <w:rFonts w:hint="default" w:ascii="Times New Roman" w:hAnsi="Times New Roman" w:cs="Times New Roman"/>
                      <w:b w:val="0"/>
                      <w:bCs/>
                      <w:sz w:val="21"/>
                      <w:szCs w:val="21"/>
                    </w:rPr>
                  </w:pPr>
                  <w:r>
                    <w:rPr>
                      <w:rStyle w:val="5"/>
                      <w:rFonts w:hint="default" w:ascii="Times New Roman" w:hAnsi="Times New Roman" w:eastAsia="宋体" w:cs="Times New Roman"/>
                      <w:b w:val="0"/>
                      <w:bCs/>
                      <w:color w:val="000000"/>
                      <w:kern w:val="0"/>
                      <w:sz w:val="21"/>
                      <w:szCs w:val="21"/>
                      <w:lang w:val="en-US" w:eastAsia="zh-CN" w:bidi="ar"/>
                    </w:rPr>
                    <w:t>使用经校准的尺寸测量器具逐件测量靶材直径及金属层厚度，并记录测量结果。</w:t>
                  </w:r>
                </w:p>
              </w:tc>
            </w:tr>
            <w:tr w14:paraId="66066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85" w:hRule="atLeast"/>
                <w:jc w:val="center"/>
              </w:trPr>
              <w:tc>
                <w:tcPr>
                  <w:tcW w:w="0" w:type="auto"/>
                  <w:tcBorders>
                    <w:tl2br w:val="nil"/>
                    <w:tr2bl w:val="nil"/>
                  </w:tcBorders>
                  <w:shd w:val="clear" w:color="auto" w:fill="auto"/>
                  <w:tcMar>
                    <w:top w:w="120" w:type="dxa"/>
                    <w:left w:w="120" w:type="dxa"/>
                    <w:bottom w:w="120" w:type="dxa"/>
                    <w:right w:w="120" w:type="dxa"/>
                  </w:tcMar>
                  <w:vAlign w:val="center"/>
                </w:tcPr>
                <w:p w14:paraId="49E0D96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line="240" w:lineRule="auto"/>
                    <w:jc w:val="center"/>
                    <w:textAlignment w:val="center"/>
                    <w:rPr>
                      <w:rFonts w:hint="default" w:ascii="Times New Roman" w:hAnsi="Times New Roman" w:cs="Times New Roman"/>
                      <w:b w:val="0"/>
                      <w:bCs/>
                      <w:sz w:val="21"/>
                      <w:szCs w:val="21"/>
                    </w:rPr>
                  </w:pPr>
                  <w:r>
                    <w:rPr>
                      <w:rStyle w:val="5"/>
                      <w:rFonts w:hint="default" w:ascii="Times New Roman" w:hAnsi="Times New Roman" w:eastAsia="宋体" w:cs="Times New Roman"/>
                      <w:b w:val="0"/>
                      <w:bCs/>
                      <w:color w:val="000000"/>
                      <w:kern w:val="0"/>
                      <w:sz w:val="21"/>
                      <w:szCs w:val="21"/>
                      <w:lang w:val="en-US" w:eastAsia="zh-CN" w:bidi="ar"/>
                    </w:rPr>
                    <w:t>5</w:t>
                  </w:r>
                </w:p>
              </w:tc>
              <w:tc>
                <w:tcPr>
                  <w:tcW w:w="715" w:type="dxa"/>
                  <w:tcBorders>
                    <w:tl2br w:val="nil"/>
                    <w:tr2bl w:val="nil"/>
                  </w:tcBorders>
                  <w:shd w:val="clear" w:color="auto" w:fill="auto"/>
                  <w:tcMar>
                    <w:top w:w="120" w:type="dxa"/>
                    <w:left w:w="120" w:type="dxa"/>
                    <w:bottom w:w="120" w:type="dxa"/>
                    <w:right w:w="120" w:type="dxa"/>
                  </w:tcMar>
                  <w:vAlign w:val="center"/>
                </w:tcPr>
                <w:p w14:paraId="70D3232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line="240" w:lineRule="auto"/>
                    <w:jc w:val="center"/>
                    <w:textAlignment w:val="center"/>
                    <w:rPr>
                      <w:rFonts w:hint="default" w:ascii="Times New Roman" w:hAnsi="Times New Roman" w:cs="Times New Roman"/>
                      <w:b w:val="0"/>
                      <w:bCs/>
                      <w:sz w:val="21"/>
                      <w:szCs w:val="21"/>
                    </w:rPr>
                  </w:pPr>
                  <w:r>
                    <w:rPr>
                      <w:rStyle w:val="5"/>
                      <w:rFonts w:hint="default" w:ascii="Times New Roman" w:hAnsi="Times New Roman" w:eastAsia="宋体" w:cs="Times New Roman"/>
                      <w:b w:val="0"/>
                      <w:bCs/>
                      <w:color w:val="000000"/>
                      <w:kern w:val="0"/>
                      <w:sz w:val="21"/>
                      <w:szCs w:val="21"/>
                      <w:lang w:val="en-US" w:eastAsia="zh-CN" w:bidi="ar"/>
                    </w:rPr>
                    <w:t>靶材重量</w:t>
                  </w:r>
                </w:p>
              </w:tc>
              <w:tc>
                <w:tcPr>
                  <w:tcW w:w="1787" w:type="dxa"/>
                  <w:tcBorders>
                    <w:tl2br w:val="nil"/>
                    <w:tr2bl w:val="nil"/>
                  </w:tcBorders>
                  <w:shd w:val="clear" w:color="auto" w:fill="auto"/>
                  <w:tcMar>
                    <w:top w:w="120" w:type="dxa"/>
                    <w:left w:w="120" w:type="dxa"/>
                    <w:bottom w:w="120" w:type="dxa"/>
                    <w:right w:w="120" w:type="dxa"/>
                  </w:tcMar>
                  <w:vAlign w:val="center"/>
                </w:tcPr>
                <w:p w14:paraId="3434170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line="240" w:lineRule="auto"/>
                    <w:jc w:val="left"/>
                    <w:textAlignment w:val="center"/>
                    <w:rPr>
                      <w:rFonts w:hint="default" w:ascii="Times New Roman" w:hAnsi="Times New Roman" w:cs="Times New Roman"/>
                      <w:b w:val="0"/>
                      <w:bCs/>
                      <w:sz w:val="21"/>
                      <w:szCs w:val="21"/>
                    </w:rPr>
                  </w:pPr>
                  <w:r>
                    <w:rPr>
                      <w:rStyle w:val="5"/>
                      <w:rFonts w:hint="default" w:ascii="Times New Roman" w:hAnsi="Times New Roman" w:eastAsia="宋体" w:cs="Times New Roman"/>
                      <w:b w:val="0"/>
                      <w:bCs/>
                      <w:color w:val="000000"/>
                      <w:kern w:val="0"/>
                      <w:sz w:val="21"/>
                      <w:szCs w:val="21"/>
                      <w:lang w:val="en-US" w:eastAsia="zh-CN" w:bidi="ar"/>
                    </w:rPr>
                    <w:t>Au靶材不低于58g，Pt靶材不低于65g，Ru靶材不低于50g，Co靶材不低于27g，Ni靶材不低于27g，Fe靶材不低于23g；按照验收确认的实际重量结算。</w:t>
                  </w:r>
                </w:p>
              </w:tc>
              <w:tc>
                <w:tcPr>
                  <w:tcW w:w="2123" w:type="dxa"/>
                  <w:tcBorders>
                    <w:tl2br w:val="nil"/>
                    <w:tr2bl w:val="nil"/>
                  </w:tcBorders>
                  <w:shd w:val="clear" w:color="auto" w:fill="auto"/>
                  <w:tcMar>
                    <w:top w:w="120" w:type="dxa"/>
                    <w:left w:w="120" w:type="dxa"/>
                    <w:bottom w:w="120" w:type="dxa"/>
                    <w:right w:w="120" w:type="dxa"/>
                  </w:tcMar>
                  <w:vAlign w:val="center"/>
                </w:tcPr>
                <w:p w14:paraId="362CB5D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line="240" w:lineRule="auto"/>
                    <w:jc w:val="left"/>
                    <w:textAlignment w:val="center"/>
                    <w:rPr>
                      <w:rFonts w:hint="default" w:ascii="Times New Roman" w:hAnsi="Times New Roman" w:cs="Times New Roman"/>
                      <w:b w:val="0"/>
                      <w:bCs/>
                      <w:sz w:val="21"/>
                      <w:szCs w:val="21"/>
                    </w:rPr>
                  </w:pPr>
                  <w:r>
                    <w:rPr>
                      <w:rStyle w:val="5"/>
                      <w:rFonts w:hint="default" w:ascii="Times New Roman" w:hAnsi="Times New Roman" w:eastAsia="宋体" w:cs="Times New Roman"/>
                      <w:b w:val="0"/>
                      <w:bCs/>
                      <w:color w:val="000000"/>
                      <w:kern w:val="0"/>
                      <w:sz w:val="21"/>
                      <w:szCs w:val="21"/>
                      <w:lang w:val="en-US" w:eastAsia="zh-CN" w:bidi="ar"/>
                    </w:rPr>
                    <w:t>使用经校准的计量器具逐件称重，形成称重记录，并由双方签字确认实际重量。</w:t>
                  </w:r>
                </w:p>
              </w:tc>
            </w:tr>
            <w:tr w14:paraId="3AF9A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85" w:hRule="atLeast"/>
                <w:jc w:val="center"/>
              </w:trPr>
              <w:tc>
                <w:tcPr>
                  <w:tcW w:w="0" w:type="auto"/>
                  <w:tcBorders>
                    <w:tl2br w:val="nil"/>
                    <w:tr2bl w:val="nil"/>
                  </w:tcBorders>
                  <w:shd w:val="clear" w:color="auto" w:fill="auto"/>
                  <w:tcMar>
                    <w:top w:w="120" w:type="dxa"/>
                    <w:left w:w="120" w:type="dxa"/>
                    <w:bottom w:w="120" w:type="dxa"/>
                    <w:right w:w="120" w:type="dxa"/>
                  </w:tcMar>
                  <w:vAlign w:val="center"/>
                </w:tcPr>
                <w:p w14:paraId="528CCBD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line="240" w:lineRule="auto"/>
                    <w:jc w:val="center"/>
                    <w:textAlignment w:val="center"/>
                    <w:rPr>
                      <w:rFonts w:hint="default" w:ascii="Times New Roman" w:hAnsi="Times New Roman" w:cs="Times New Roman"/>
                      <w:b w:val="0"/>
                      <w:bCs/>
                      <w:sz w:val="21"/>
                      <w:szCs w:val="21"/>
                    </w:rPr>
                  </w:pPr>
                  <w:r>
                    <w:rPr>
                      <w:rStyle w:val="5"/>
                      <w:rFonts w:hint="default" w:ascii="Times New Roman" w:hAnsi="Times New Roman" w:eastAsia="宋体" w:cs="Times New Roman"/>
                      <w:b w:val="0"/>
                      <w:bCs/>
                      <w:color w:val="000000"/>
                      <w:kern w:val="0"/>
                      <w:sz w:val="21"/>
                      <w:szCs w:val="21"/>
                      <w:lang w:val="en-US" w:eastAsia="zh-CN" w:bidi="ar"/>
                    </w:rPr>
                    <w:t>6</w:t>
                  </w:r>
                </w:p>
              </w:tc>
              <w:tc>
                <w:tcPr>
                  <w:tcW w:w="715" w:type="dxa"/>
                  <w:tcBorders>
                    <w:tl2br w:val="nil"/>
                    <w:tr2bl w:val="nil"/>
                  </w:tcBorders>
                  <w:shd w:val="clear" w:color="auto" w:fill="auto"/>
                  <w:tcMar>
                    <w:top w:w="120" w:type="dxa"/>
                    <w:left w:w="120" w:type="dxa"/>
                    <w:bottom w:w="120" w:type="dxa"/>
                    <w:right w:w="120" w:type="dxa"/>
                  </w:tcMar>
                  <w:vAlign w:val="center"/>
                </w:tcPr>
                <w:p w14:paraId="69AEC5D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line="240" w:lineRule="auto"/>
                    <w:jc w:val="center"/>
                    <w:textAlignment w:val="center"/>
                    <w:rPr>
                      <w:rFonts w:hint="default" w:ascii="Times New Roman" w:hAnsi="Times New Roman" w:cs="Times New Roman"/>
                      <w:b w:val="0"/>
                      <w:bCs/>
                      <w:sz w:val="21"/>
                      <w:szCs w:val="21"/>
                    </w:rPr>
                  </w:pPr>
                  <w:r>
                    <w:rPr>
                      <w:rStyle w:val="5"/>
                      <w:rFonts w:hint="default" w:ascii="Times New Roman" w:hAnsi="Times New Roman" w:eastAsia="宋体" w:cs="Times New Roman"/>
                      <w:b w:val="0"/>
                      <w:bCs/>
                      <w:color w:val="000000"/>
                      <w:kern w:val="0"/>
                      <w:sz w:val="21"/>
                      <w:szCs w:val="21"/>
                      <w:lang w:val="en-US" w:eastAsia="zh-CN" w:bidi="ar"/>
                    </w:rPr>
                    <w:t>镀层质量</w:t>
                  </w:r>
                </w:p>
              </w:tc>
              <w:tc>
                <w:tcPr>
                  <w:tcW w:w="1787" w:type="dxa"/>
                  <w:tcBorders>
                    <w:tl2br w:val="nil"/>
                    <w:tr2bl w:val="nil"/>
                  </w:tcBorders>
                  <w:shd w:val="clear" w:color="auto" w:fill="auto"/>
                  <w:tcMar>
                    <w:top w:w="120" w:type="dxa"/>
                    <w:left w:w="120" w:type="dxa"/>
                    <w:bottom w:w="120" w:type="dxa"/>
                    <w:right w:w="120" w:type="dxa"/>
                  </w:tcMar>
                  <w:vAlign w:val="center"/>
                </w:tcPr>
                <w:p w14:paraId="442E24C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line="240" w:lineRule="auto"/>
                    <w:jc w:val="left"/>
                    <w:textAlignment w:val="center"/>
                    <w:rPr>
                      <w:rFonts w:hint="default" w:ascii="Times New Roman" w:hAnsi="Times New Roman" w:cs="Times New Roman"/>
                      <w:b w:val="0"/>
                      <w:bCs/>
                      <w:sz w:val="21"/>
                      <w:szCs w:val="21"/>
                    </w:rPr>
                  </w:pPr>
                  <w:r>
                    <w:rPr>
                      <w:rStyle w:val="5"/>
                      <w:rFonts w:hint="default" w:ascii="Times New Roman" w:hAnsi="Times New Roman" w:eastAsia="宋体" w:cs="Times New Roman"/>
                      <w:b w:val="0"/>
                      <w:bCs/>
                      <w:color w:val="000000"/>
                      <w:kern w:val="0"/>
                      <w:sz w:val="21"/>
                      <w:szCs w:val="21"/>
                      <w:lang w:val="en-US" w:eastAsia="zh-CN" w:bidi="ar"/>
                    </w:rPr>
                    <w:t>靶材工作面应完整、均匀，不得存在影响正常磁控溅射使用的明显针孔、裂纹、起皮、剥落、局部裸露或其他缺陷。</w:t>
                  </w:r>
                </w:p>
              </w:tc>
              <w:tc>
                <w:tcPr>
                  <w:tcW w:w="2123" w:type="dxa"/>
                  <w:tcBorders>
                    <w:tl2br w:val="nil"/>
                    <w:tr2bl w:val="nil"/>
                  </w:tcBorders>
                  <w:shd w:val="clear" w:color="auto" w:fill="auto"/>
                  <w:tcMar>
                    <w:top w:w="120" w:type="dxa"/>
                    <w:left w:w="120" w:type="dxa"/>
                    <w:bottom w:w="120" w:type="dxa"/>
                    <w:right w:w="120" w:type="dxa"/>
                  </w:tcMar>
                  <w:vAlign w:val="center"/>
                </w:tcPr>
                <w:p w14:paraId="1643CD2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line="240" w:lineRule="auto"/>
                    <w:jc w:val="left"/>
                    <w:textAlignment w:val="center"/>
                    <w:rPr>
                      <w:rFonts w:hint="default" w:ascii="Times New Roman" w:hAnsi="Times New Roman" w:cs="Times New Roman"/>
                      <w:b w:val="0"/>
                      <w:bCs/>
                      <w:sz w:val="21"/>
                      <w:szCs w:val="21"/>
                    </w:rPr>
                  </w:pPr>
                  <w:r>
                    <w:rPr>
                      <w:rStyle w:val="5"/>
                      <w:rFonts w:hint="default" w:ascii="Times New Roman" w:hAnsi="Times New Roman" w:eastAsia="宋体" w:cs="Times New Roman"/>
                      <w:b w:val="0"/>
                      <w:bCs/>
                      <w:color w:val="000000"/>
                      <w:kern w:val="0"/>
                      <w:sz w:val="21"/>
                      <w:szCs w:val="21"/>
                      <w:lang w:val="en-US" w:eastAsia="zh-CN" w:bidi="ar"/>
                    </w:rPr>
                    <w:t>对每件靶材工作面进行外观检查并留存检查记录；发现疑似缺陷时进行进一步检测。</w:t>
                  </w:r>
                </w:p>
              </w:tc>
            </w:tr>
            <w:tr w14:paraId="19969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216" w:hRule="atLeast"/>
                <w:jc w:val="center"/>
              </w:trPr>
              <w:tc>
                <w:tcPr>
                  <w:tcW w:w="0" w:type="auto"/>
                  <w:tcBorders>
                    <w:tl2br w:val="nil"/>
                    <w:tr2bl w:val="nil"/>
                  </w:tcBorders>
                  <w:shd w:val="clear" w:color="auto" w:fill="auto"/>
                  <w:tcMar>
                    <w:top w:w="120" w:type="dxa"/>
                    <w:left w:w="120" w:type="dxa"/>
                    <w:bottom w:w="120" w:type="dxa"/>
                    <w:right w:w="120" w:type="dxa"/>
                  </w:tcMar>
                  <w:vAlign w:val="center"/>
                </w:tcPr>
                <w:p w14:paraId="1DAFCBE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line="240" w:lineRule="auto"/>
                    <w:jc w:val="center"/>
                    <w:textAlignment w:val="center"/>
                    <w:rPr>
                      <w:rFonts w:hint="default" w:ascii="Times New Roman" w:hAnsi="Times New Roman" w:cs="Times New Roman"/>
                      <w:b w:val="0"/>
                      <w:bCs/>
                      <w:sz w:val="21"/>
                      <w:szCs w:val="21"/>
                    </w:rPr>
                  </w:pPr>
                  <w:r>
                    <w:rPr>
                      <w:rStyle w:val="5"/>
                      <w:rFonts w:hint="default" w:ascii="Times New Roman" w:hAnsi="Times New Roman" w:eastAsia="宋体" w:cs="Times New Roman"/>
                      <w:b w:val="0"/>
                      <w:bCs/>
                      <w:color w:val="000000"/>
                      <w:kern w:val="0"/>
                      <w:sz w:val="21"/>
                      <w:szCs w:val="21"/>
                      <w:lang w:val="en-US" w:eastAsia="zh-CN" w:bidi="ar"/>
                    </w:rPr>
                    <w:t>7</w:t>
                  </w:r>
                </w:p>
              </w:tc>
              <w:tc>
                <w:tcPr>
                  <w:tcW w:w="715" w:type="dxa"/>
                  <w:tcBorders>
                    <w:tl2br w:val="nil"/>
                    <w:tr2bl w:val="nil"/>
                  </w:tcBorders>
                  <w:shd w:val="clear" w:color="auto" w:fill="auto"/>
                  <w:tcMar>
                    <w:top w:w="120" w:type="dxa"/>
                    <w:left w:w="120" w:type="dxa"/>
                    <w:bottom w:w="120" w:type="dxa"/>
                    <w:right w:w="120" w:type="dxa"/>
                  </w:tcMar>
                  <w:vAlign w:val="center"/>
                </w:tcPr>
                <w:p w14:paraId="53B66D6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line="240" w:lineRule="auto"/>
                    <w:jc w:val="center"/>
                    <w:textAlignment w:val="center"/>
                    <w:rPr>
                      <w:rFonts w:hint="default" w:ascii="Times New Roman" w:hAnsi="Times New Roman" w:cs="Times New Roman"/>
                      <w:b w:val="0"/>
                      <w:bCs/>
                      <w:sz w:val="21"/>
                      <w:szCs w:val="21"/>
                    </w:rPr>
                  </w:pPr>
                  <w:r>
                    <w:rPr>
                      <w:rStyle w:val="5"/>
                      <w:rFonts w:hint="default" w:ascii="Times New Roman" w:hAnsi="Times New Roman" w:eastAsia="宋体" w:cs="Times New Roman"/>
                      <w:b w:val="0"/>
                      <w:bCs/>
                      <w:color w:val="000000"/>
                      <w:kern w:val="0"/>
                      <w:sz w:val="21"/>
                      <w:szCs w:val="21"/>
                      <w:lang w:val="en-US" w:eastAsia="zh-CN" w:bidi="ar"/>
                    </w:rPr>
                    <w:t>加工精度</w:t>
                  </w:r>
                </w:p>
              </w:tc>
              <w:tc>
                <w:tcPr>
                  <w:tcW w:w="1787" w:type="dxa"/>
                  <w:tcBorders>
                    <w:tl2br w:val="nil"/>
                    <w:tr2bl w:val="nil"/>
                  </w:tcBorders>
                  <w:shd w:val="clear" w:color="auto" w:fill="auto"/>
                  <w:tcMar>
                    <w:top w:w="120" w:type="dxa"/>
                    <w:left w:w="120" w:type="dxa"/>
                    <w:bottom w:w="120" w:type="dxa"/>
                    <w:right w:w="120" w:type="dxa"/>
                  </w:tcMar>
                  <w:vAlign w:val="center"/>
                </w:tcPr>
                <w:p w14:paraId="4304246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line="240" w:lineRule="auto"/>
                    <w:jc w:val="left"/>
                    <w:textAlignment w:val="center"/>
                    <w:rPr>
                      <w:rFonts w:hint="default" w:ascii="Times New Roman" w:hAnsi="Times New Roman" w:cs="Times New Roman"/>
                      <w:b w:val="0"/>
                      <w:bCs/>
                      <w:sz w:val="21"/>
                      <w:szCs w:val="21"/>
                    </w:rPr>
                  </w:pPr>
                  <w:r>
                    <w:rPr>
                      <w:rStyle w:val="5"/>
                      <w:rFonts w:hint="default" w:ascii="Times New Roman" w:hAnsi="Times New Roman" w:eastAsia="宋体" w:cs="Times New Roman"/>
                      <w:b w:val="0"/>
                      <w:bCs/>
                      <w:color w:val="000000"/>
                      <w:kern w:val="0"/>
                      <w:sz w:val="21"/>
                      <w:szCs w:val="21"/>
                      <w:lang w:val="en-US" w:eastAsia="zh-CN" w:bidi="ar"/>
                    </w:rPr>
                    <w:t>靶材总厚度公差不超过±0.1mm，溅射工作面平面度不超过0.05mm，靶材金属层表面粗糙度Ra不超过0.8μm。</w:t>
                  </w:r>
                </w:p>
              </w:tc>
              <w:tc>
                <w:tcPr>
                  <w:tcW w:w="2123" w:type="dxa"/>
                  <w:tcBorders>
                    <w:tl2br w:val="nil"/>
                    <w:tr2bl w:val="nil"/>
                  </w:tcBorders>
                  <w:shd w:val="clear" w:color="auto" w:fill="auto"/>
                  <w:tcMar>
                    <w:top w:w="120" w:type="dxa"/>
                    <w:left w:w="120" w:type="dxa"/>
                    <w:bottom w:w="120" w:type="dxa"/>
                    <w:right w:w="120" w:type="dxa"/>
                  </w:tcMar>
                  <w:vAlign w:val="center"/>
                </w:tcPr>
                <w:p w14:paraId="65721C6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line="240" w:lineRule="auto"/>
                    <w:jc w:val="left"/>
                    <w:textAlignment w:val="center"/>
                    <w:rPr>
                      <w:rFonts w:hint="default" w:ascii="Times New Roman" w:hAnsi="Times New Roman" w:cs="Times New Roman"/>
                      <w:b w:val="0"/>
                      <w:bCs/>
                      <w:sz w:val="21"/>
                      <w:szCs w:val="21"/>
                    </w:rPr>
                  </w:pPr>
                  <w:r>
                    <w:rPr>
                      <w:rStyle w:val="5"/>
                      <w:rFonts w:hint="default" w:ascii="Times New Roman" w:hAnsi="Times New Roman" w:eastAsia="宋体" w:cs="Times New Roman"/>
                      <w:b w:val="0"/>
                      <w:bCs/>
                      <w:color w:val="000000"/>
                      <w:kern w:val="0"/>
                      <w:sz w:val="21"/>
                      <w:szCs w:val="21"/>
                      <w:lang w:val="en-US" w:eastAsia="zh-CN" w:bidi="ar"/>
                    </w:rPr>
                    <w:t>使用经校准的厚度测量器具、平面度测量设备和表面粗糙度仪进行检测，并核查相应检测报告。</w:t>
                  </w:r>
                </w:p>
              </w:tc>
            </w:tr>
            <w:tr w14:paraId="65C77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85" w:hRule="atLeast"/>
                <w:jc w:val="center"/>
              </w:trPr>
              <w:tc>
                <w:tcPr>
                  <w:tcW w:w="0" w:type="auto"/>
                  <w:tcBorders>
                    <w:tl2br w:val="nil"/>
                    <w:tr2bl w:val="nil"/>
                  </w:tcBorders>
                  <w:shd w:val="clear" w:color="auto" w:fill="auto"/>
                  <w:tcMar>
                    <w:top w:w="120" w:type="dxa"/>
                    <w:left w:w="120" w:type="dxa"/>
                    <w:bottom w:w="120" w:type="dxa"/>
                    <w:right w:w="120" w:type="dxa"/>
                  </w:tcMar>
                  <w:vAlign w:val="center"/>
                </w:tcPr>
                <w:p w14:paraId="61FF9B2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line="240" w:lineRule="auto"/>
                    <w:jc w:val="center"/>
                    <w:textAlignment w:val="center"/>
                    <w:rPr>
                      <w:rFonts w:hint="default" w:ascii="Times New Roman" w:hAnsi="Times New Roman" w:cs="Times New Roman"/>
                      <w:b w:val="0"/>
                      <w:bCs/>
                      <w:sz w:val="21"/>
                      <w:szCs w:val="21"/>
                    </w:rPr>
                  </w:pPr>
                  <w:r>
                    <w:rPr>
                      <w:rStyle w:val="5"/>
                      <w:rFonts w:hint="eastAsia" w:ascii="Times New Roman" w:hAnsi="Times New Roman" w:eastAsia="宋体" w:cs="Times New Roman"/>
                      <w:b w:val="0"/>
                      <w:bCs/>
                      <w:color w:val="000000"/>
                      <w:kern w:val="0"/>
                      <w:sz w:val="21"/>
                      <w:szCs w:val="21"/>
                      <w:lang w:val="en-US" w:eastAsia="zh-CN" w:bidi="ar"/>
                    </w:rPr>
                    <w:t>8</w:t>
                  </w:r>
                </w:p>
              </w:tc>
              <w:tc>
                <w:tcPr>
                  <w:tcW w:w="715" w:type="dxa"/>
                  <w:tcBorders>
                    <w:tl2br w:val="nil"/>
                    <w:tr2bl w:val="nil"/>
                  </w:tcBorders>
                  <w:shd w:val="clear" w:color="auto" w:fill="auto"/>
                  <w:tcMar>
                    <w:top w:w="120" w:type="dxa"/>
                    <w:left w:w="120" w:type="dxa"/>
                    <w:bottom w:w="120" w:type="dxa"/>
                    <w:right w:w="120" w:type="dxa"/>
                  </w:tcMar>
                  <w:vAlign w:val="center"/>
                </w:tcPr>
                <w:p w14:paraId="1E08349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line="240" w:lineRule="auto"/>
                    <w:jc w:val="center"/>
                    <w:textAlignment w:val="center"/>
                    <w:rPr>
                      <w:rFonts w:hint="default" w:ascii="Times New Roman" w:hAnsi="Times New Roman" w:cs="Times New Roman"/>
                      <w:b w:val="0"/>
                      <w:bCs/>
                      <w:sz w:val="21"/>
                      <w:szCs w:val="21"/>
                    </w:rPr>
                  </w:pPr>
                  <w:r>
                    <w:rPr>
                      <w:rStyle w:val="5"/>
                      <w:rFonts w:hint="default" w:ascii="Times New Roman" w:hAnsi="Times New Roman" w:eastAsia="宋体" w:cs="Times New Roman"/>
                      <w:b w:val="0"/>
                      <w:bCs/>
                      <w:color w:val="000000"/>
                      <w:kern w:val="0"/>
                      <w:sz w:val="21"/>
                      <w:szCs w:val="21"/>
                      <w:lang w:val="en-US" w:eastAsia="zh-CN" w:bidi="ar"/>
                    </w:rPr>
                    <w:t>交付要求</w:t>
                  </w:r>
                </w:p>
              </w:tc>
              <w:tc>
                <w:tcPr>
                  <w:tcW w:w="1787" w:type="dxa"/>
                  <w:tcBorders>
                    <w:tl2br w:val="nil"/>
                    <w:tr2bl w:val="nil"/>
                  </w:tcBorders>
                  <w:shd w:val="clear" w:color="auto" w:fill="auto"/>
                  <w:tcMar>
                    <w:top w:w="120" w:type="dxa"/>
                    <w:left w:w="120" w:type="dxa"/>
                    <w:bottom w:w="120" w:type="dxa"/>
                    <w:right w:w="120" w:type="dxa"/>
                  </w:tcMar>
                  <w:vAlign w:val="center"/>
                </w:tcPr>
                <w:p w14:paraId="44AD4D3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line="240" w:lineRule="auto"/>
                    <w:jc w:val="left"/>
                    <w:textAlignment w:val="center"/>
                    <w:rPr>
                      <w:rFonts w:hint="default" w:ascii="Times New Roman" w:hAnsi="Times New Roman" w:cs="Times New Roman"/>
                      <w:b w:val="0"/>
                      <w:bCs/>
                      <w:sz w:val="21"/>
                      <w:szCs w:val="21"/>
                    </w:rPr>
                  </w:pPr>
                  <w:r>
                    <w:rPr>
                      <w:rStyle w:val="5"/>
                      <w:rFonts w:hint="default" w:ascii="Times New Roman" w:hAnsi="Times New Roman" w:eastAsia="宋体" w:cs="Times New Roman"/>
                      <w:b w:val="0"/>
                      <w:bCs/>
                      <w:color w:val="000000"/>
                      <w:kern w:val="0"/>
                      <w:sz w:val="21"/>
                      <w:szCs w:val="21"/>
                      <w:lang w:val="en-US" w:eastAsia="zh-CN" w:bidi="ar"/>
                    </w:rPr>
                    <w:t>自合同签订之日起</w:t>
                  </w:r>
                  <w:r>
                    <w:rPr>
                      <w:rStyle w:val="5"/>
                      <w:rFonts w:hint="eastAsia" w:ascii="Times New Roman" w:hAnsi="Times New Roman" w:eastAsia="宋体" w:cs="Times New Roman"/>
                      <w:b w:val="0"/>
                      <w:bCs/>
                      <w:color w:val="000000"/>
                      <w:kern w:val="0"/>
                      <w:sz w:val="21"/>
                      <w:szCs w:val="21"/>
                      <w:lang w:val="en-US" w:eastAsia="zh-CN" w:bidi="ar"/>
                    </w:rPr>
                    <w:t>15天</w:t>
                  </w:r>
                  <w:r>
                    <w:rPr>
                      <w:rStyle w:val="5"/>
                      <w:rFonts w:hint="default" w:ascii="Times New Roman" w:hAnsi="Times New Roman" w:eastAsia="宋体" w:cs="Times New Roman"/>
                      <w:b w:val="0"/>
                      <w:bCs/>
                      <w:color w:val="000000"/>
                      <w:kern w:val="0"/>
                      <w:sz w:val="21"/>
                      <w:szCs w:val="21"/>
                      <w:lang w:val="en-US" w:eastAsia="zh-CN" w:bidi="ar"/>
                    </w:rPr>
                    <w:t>内完成供货，采用一次性交付方式。</w:t>
                  </w:r>
                </w:p>
              </w:tc>
              <w:tc>
                <w:tcPr>
                  <w:tcW w:w="2123" w:type="dxa"/>
                  <w:tcBorders>
                    <w:tl2br w:val="nil"/>
                    <w:tr2bl w:val="nil"/>
                  </w:tcBorders>
                  <w:shd w:val="clear" w:color="auto" w:fill="auto"/>
                  <w:tcMar>
                    <w:top w:w="120" w:type="dxa"/>
                    <w:left w:w="120" w:type="dxa"/>
                    <w:bottom w:w="120" w:type="dxa"/>
                    <w:right w:w="120" w:type="dxa"/>
                  </w:tcMar>
                  <w:vAlign w:val="center"/>
                </w:tcPr>
                <w:p w14:paraId="0946F15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line="240" w:lineRule="auto"/>
                    <w:jc w:val="left"/>
                    <w:textAlignment w:val="center"/>
                    <w:rPr>
                      <w:rFonts w:hint="default" w:ascii="Times New Roman" w:hAnsi="Times New Roman" w:cs="Times New Roman"/>
                      <w:b w:val="0"/>
                      <w:bCs/>
                      <w:sz w:val="21"/>
                      <w:szCs w:val="21"/>
                    </w:rPr>
                  </w:pPr>
                  <w:r>
                    <w:rPr>
                      <w:rStyle w:val="5"/>
                      <w:rFonts w:hint="default" w:ascii="Times New Roman" w:hAnsi="Times New Roman" w:eastAsia="宋体" w:cs="Times New Roman"/>
                      <w:b w:val="0"/>
                      <w:bCs/>
                      <w:color w:val="000000"/>
                      <w:kern w:val="0"/>
                      <w:sz w:val="21"/>
                      <w:szCs w:val="21"/>
                      <w:lang w:val="en-US" w:eastAsia="zh-CN" w:bidi="ar"/>
                    </w:rPr>
                    <w:t>核查合同签订日期、到货日期、装箱清单、交接记录及其他交付文件。</w:t>
                  </w:r>
                </w:p>
              </w:tc>
            </w:tr>
          </w:tbl>
          <w:p w14:paraId="62892165">
            <w:pPr>
              <w:pStyle w:val="6"/>
              <w:keepNext w:val="0"/>
              <w:keepLines w:val="0"/>
              <w:pageBreakBefore w:val="0"/>
              <w:widowControl w:val="0"/>
              <w:numPr>
                <w:ilvl w:val="0"/>
                <w:numId w:val="0"/>
              </w:numPr>
              <w:tabs>
                <w:tab w:val="left" w:pos="6915"/>
              </w:tabs>
              <w:kinsoku/>
              <w:topLinePunct w:val="0"/>
              <w:autoSpaceDE/>
              <w:autoSpaceDN/>
              <w:bidi w:val="0"/>
              <w:adjustRightInd w:val="0"/>
              <w:snapToGrid w:val="0"/>
              <w:spacing w:line="240" w:lineRule="auto"/>
              <w:ind w:leftChars="0"/>
              <w:jc w:val="left"/>
              <w:textAlignment w:val="auto"/>
              <w:rPr>
                <w:rFonts w:hint="default" w:ascii="Times New Roman" w:hAnsi="Times New Roman" w:cs="Times New Roman"/>
                <w:b w:val="0"/>
                <w:bCs/>
                <w:sz w:val="21"/>
                <w:szCs w:val="21"/>
                <w:lang w:val="en-US" w:eastAsia="zh-CN"/>
              </w:rPr>
            </w:pPr>
          </w:p>
          <w:p w14:paraId="7ABC9B18">
            <w:pPr>
              <w:pStyle w:val="6"/>
              <w:keepNext w:val="0"/>
              <w:keepLines w:val="0"/>
              <w:pageBreakBefore w:val="0"/>
              <w:widowControl w:val="0"/>
              <w:numPr>
                <w:ilvl w:val="0"/>
                <w:numId w:val="0"/>
              </w:numPr>
              <w:tabs>
                <w:tab w:val="left" w:pos="6915"/>
              </w:tabs>
              <w:kinsoku/>
              <w:topLinePunct w:val="0"/>
              <w:autoSpaceDE/>
              <w:autoSpaceDN/>
              <w:bidi w:val="0"/>
              <w:adjustRightInd w:val="0"/>
              <w:snapToGrid w:val="0"/>
              <w:spacing w:line="240" w:lineRule="auto"/>
              <w:ind w:leftChars="0"/>
              <w:jc w:val="left"/>
              <w:textAlignment w:val="auto"/>
              <w:rPr>
                <w:rFonts w:hint="eastAsia" w:ascii="宋体" w:hAnsi="宋体"/>
                <w:b w:val="0"/>
                <w:bCs/>
                <w:sz w:val="24"/>
                <w:szCs w:val="24"/>
                <w:lang w:val="en-US" w:eastAsia="zh-CN"/>
              </w:rPr>
            </w:pPr>
            <w:r>
              <w:rPr>
                <w:rFonts w:hint="default" w:ascii="Times New Roman" w:hAnsi="Times New Roman" w:cs="Times New Roman"/>
                <w:b/>
                <w:bCs w:val="0"/>
                <w:sz w:val="21"/>
                <w:szCs w:val="21"/>
                <w:lang w:val="en-US" w:eastAsia="zh-CN"/>
              </w:rPr>
              <w:t>保修及售后服务：</w:t>
            </w:r>
            <w:r>
              <w:rPr>
                <w:rFonts w:hint="default" w:ascii="Times New Roman" w:hAnsi="Times New Roman" w:cs="Times New Roman"/>
                <w:b w:val="0"/>
                <w:bCs/>
                <w:sz w:val="21"/>
                <w:szCs w:val="21"/>
                <w:lang w:val="en-US" w:eastAsia="zh-CN"/>
              </w:rPr>
              <w:t>系统验收后应提供不少于24个月的靶材维护服务，内容包括日常保存、使用指导等，以及靶材开裂的维修等。</w:t>
            </w:r>
          </w:p>
        </w:tc>
        <w:tc>
          <w:tcPr>
            <w:tcW w:w="1201" w:type="dxa"/>
            <w:vAlign w:val="center"/>
          </w:tcPr>
          <w:p w14:paraId="5D3E4FB5">
            <w:pPr>
              <w:spacing w:line="240" w:lineRule="atLeast"/>
              <w:jc w:val="center"/>
              <w:rPr>
                <w:sz w:val="24"/>
                <w:szCs w:val="24"/>
              </w:rPr>
            </w:pPr>
          </w:p>
        </w:tc>
        <w:tc>
          <w:tcPr>
            <w:tcW w:w="992" w:type="dxa"/>
            <w:vAlign w:val="center"/>
          </w:tcPr>
          <w:p w14:paraId="643744E8">
            <w:pPr>
              <w:spacing w:line="240" w:lineRule="atLeast"/>
              <w:jc w:val="center"/>
              <w:rPr>
                <w:sz w:val="24"/>
                <w:szCs w:val="24"/>
              </w:rPr>
            </w:pPr>
          </w:p>
        </w:tc>
      </w:tr>
    </w:tbl>
    <w:p w14:paraId="3A513D56">
      <w:pPr>
        <w:wordWrap w:val="0"/>
        <w:ind w:right="840"/>
        <w:jc w:val="right"/>
        <w:rPr>
          <w:rFonts w:hint="eastAsia"/>
          <w:sz w:val="24"/>
          <w:szCs w:val="24"/>
          <w:lang w:val="en-US" w:eastAsia="zh-CN"/>
        </w:rPr>
      </w:pPr>
      <w:r>
        <w:rPr>
          <w:rFonts w:hint="eastAsia"/>
          <w:sz w:val="24"/>
          <w:szCs w:val="24"/>
          <w:lang w:val="en-US" w:eastAsia="zh-CN"/>
        </w:rPr>
        <w:t xml:space="preserve">  </w:t>
      </w:r>
    </w:p>
    <w:p w14:paraId="00BC0982">
      <w:pPr>
        <w:wordWrap w:val="0"/>
        <w:ind w:right="840"/>
        <w:jc w:val="right"/>
        <w:rPr>
          <w:rFonts w:hint="default" w:eastAsiaTheme="minorEastAsia"/>
          <w:sz w:val="24"/>
          <w:szCs w:val="24"/>
          <w:lang w:val="en-US" w:eastAsia="zh-CN"/>
        </w:rPr>
      </w:pPr>
      <w:r>
        <w:rPr>
          <w:sz w:val="24"/>
          <w:szCs w:val="24"/>
        </w:rPr>
        <w:t>公司名称</w:t>
      </w:r>
      <w:r>
        <w:rPr>
          <w:rFonts w:hint="eastAsia"/>
          <w:sz w:val="24"/>
          <w:szCs w:val="24"/>
        </w:rPr>
        <w:t>（盖章）：</w:t>
      </w:r>
      <w:r>
        <w:rPr>
          <w:rFonts w:hint="eastAsia"/>
          <w:sz w:val="24"/>
          <w:szCs w:val="24"/>
        </w:rPr>
        <w:br w:type="textWrapping"/>
      </w:r>
      <w:r>
        <w:rPr>
          <w:sz w:val="24"/>
          <w:szCs w:val="24"/>
        </w:rPr>
        <w:t>日期</w:t>
      </w:r>
      <w:r>
        <w:rPr>
          <w:rFonts w:hint="eastAsia"/>
          <w:sz w:val="24"/>
          <w:szCs w:val="24"/>
        </w:rPr>
        <w:t>：</w:t>
      </w:r>
      <w:r>
        <w:rPr>
          <w:rFonts w:hint="eastAsia"/>
          <w:sz w:val="24"/>
          <w:szCs w:val="24"/>
          <w:lang w:val="en-US" w:eastAsia="zh-CN"/>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4EF6C24"/>
    <w:rsid w:val="03906C14"/>
    <w:rsid w:val="04EF6C24"/>
    <w:rsid w:val="230C3504"/>
    <w:rsid w:val="38C84348"/>
    <w:rsid w:val="40620CE9"/>
    <w:rsid w:val="41A921BE"/>
    <w:rsid w:val="4D403FED"/>
    <w:rsid w:val="4E8A19EA"/>
    <w:rsid w:val="56137BF2"/>
    <w:rsid w:val="582022AB"/>
    <w:rsid w:val="5906339C"/>
    <w:rsid w:val="5DFF120B"/>
    <w:rsid w:val="60854C98"/>
    <w:rsid w:val="7EF22B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5">
    <w:name w:val="Strong"/>
    <w:basedOn w:val="4"/>
    <w:qFormat/>
    <w:uiPriority w:val="0"/>
    <w:rPr>
      <w:b/>
    </w:rPr>
  </w:style>
  <w:style w:type="paragraph" w:styleId="6">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1621</Words>
  <Characters>1671</Characters>
  <Lines>0</Lines>
  <Paragraphs>0</Paragraphs>
  <TotalTime>2</TotalTime>
  <ScaleCrop>false</ScaleCrop>
  <LinksUpToDate>false</LinksUpToDate>
  <CharactersWithSpaces>1721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2026-07-17T08:11:00Z</dcterms:created>
  <dc:creator>DELL</dc:creator>
  <cp:lastModifiedBy>王小宇</cp:lastModifiedBy>
  <dcterms:modified xsi:type="dcterms:W3CDTF">2026-10-28T09:55:03Z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4490DDA3B9C84196A021C6AC2617C98F_13</vt:lpwstr>
  </property>
  <property fmtid="{D5CDD505-2E9C-101B-9397-08002B2CF9AE}" pid="4" name="KSOTemplateDocerSaveRecord">
    <vt:lpwstr>eyJoZGlkIjoiN2RmNGQ2MDc0ZGFiNmIyNjNmMmJiNzcxMzg1OWQzY2YiLCJ1c2VySWQiOiIxNzkyMjQ5NTEzIn0=</vt:lpwstr>
  </property>
</Properties>
</file>