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F42D7">
      <w:pPr>
        <w:jc w:val="center"/>
        <w:rPr>
          <w:sz w:val="36"/>
        </w:rPr>
      </w:pPr>
      <w:r>
        <w:rPr>
          <w:sz w:val="36"/>
        </w:rPr>
        <w:t>中国科学技术大学国家同步辐射实验室</w:t>
      </w:r>
    </w:p>
    <w:p w14:paraId="71ADF21F">
      <w:pPr>
        <w:jc w:val="center"/>
        <w:rPr>
          <w:sz w:val="36"/>
        </w:rPr>
      </w:pPr>
      <w:r>
        <w:rPr>
          <w:rFonts w:hint="eastAsia"/>
          <w:sz w:val="36"/>
        </w:rPr>
        <w:t>技术指标供应商确认表</w:t>
      </w:r>
    </w:p>
    <w:p w14:paraId="50584A57"/>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61"/>
        <w:gridCol w:w="5322"/>
        <w:gridCol w:w="1201"/>
        <w:gridCol w:w="992"/>
      </w:tblGrid>
      <w:tr w14:paraId="20C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3E29496F">
            <w:pPr>
              <w:spacing w:line="240" w:lineRule="atLeast"/>
              <w:jc w:val="center"/>
              <w:rPr>
                <w:sz w:val="24"/>
                <w:szCs w:val="24"/>
              </w:rPr>
            </w:pPr>
            <w:r>
              <w:rPr>
                <w:rFonts w:hint="eastAsia"/>
                <w:sz w:val="24"/>
                <w:szCs w:val="24"/>
              </w:rPr>
              <w:t>序号</w:t>
            </w:r>
          </w:p>
        </w:tc>
        <w:tc>
          <w:tcPr>
            <w:tcW w:w="1561" w:type="dxa"/>
            <w:vAlign w:val="center"/>
          </w:tcPr>
          <w:p w14:paraId="467D4662">
            <w:pPr>
              <w:spacing w:line="240" w:lineRule="atLeast"/>
              <w:jc w:val="center"/>
              <w:rPr>
                <w:sz w:val="24"/>
                <w:szCs w:val="24"/>
              </w:rPr>
            </w:pPr>
            <w:r>
              <w:rPr>
                <w:rFonts w:hint="eastAsia"/>
                <w:sz w:val="24"/>
                <w:szCs w:val="24"/>
              </w:rPr>
              <w:t>名称</w:t>
            </w:r>
          </w:p>
        </w:tc>
        <w:tc>
          <w:tcPr>
            <w:tcW w:w="5322" w:type="dxa"/>
            <w:vAlign w:val="center"/>
          </w:tcPr>
          <w:p w14:paraId="0B99A1E1">
            <w:pPr>
              <w:spacing w:line="240" w:lineRule="atLeast"/>
              <w:jc w:val="center"/>
              <w:rPr>
                <w:sz w:val="24"/>
                <w:szCs w:val="24"/>
              </w:rPr>
            </w:pPr>
            <w:r>
              <w:rPr>
                <w:rFonts w:hint="eastAsia"/>
                <w:sz w:val="24"/>
                <w:szCs w:val="24"/>
              </w:rPr>
              <w:t>技术指标</w:t>
            </w:r>
          </w:p>
        </w:tc>
        <w:tc>
          <w:tcPr>
            <w:tcW w:w="1201" w:type="dxa"/>
            <w:vAlign w:val="center"/>
          </w:tcPr>
          <w:p w14:paraId="78A93726">
            <w:pPr>
              <w:spacing w:line="240" w:lineRule="atLeast"/>
              <w:jc w:val="center"/>
              <w:rPr>
                <w:sz w:val="24"/>
                <w:szCs w:val="24"/>
              </w:rPr>
            </w:pPr>
            <w:r>
              <w:rPr>
                <w:rFonts w:hint="eastAsia"/>
                <w:sz w:val="24"/>
                <w:szCs w:val="24"/>
              </w:rPr>
              <w:t>偏离说明</w:t>
            </w:r>
          </w:p>
          <w:p w14:paraId="529022B5">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992" w:type="dxa"/>
            <w:vAlign w:val="center"/>
          </w:tcPr>
          <w:p w14:paraId="744AE6C5">
            <w:pPr>
              <w:spacing w:line="240" w:lineRule="atLeast"/>
              <w:jc w:val="center"/>
              <w:rPr>
                <w:sz w:val="24"/>
                <w:szCs w:val="24"/>
              </w:rPr>
            </w:pPr>
            <w:r>
              <w:rPr>
                <w:rFonts w:hint="eastAsia"/>
                <w:sz w:val="24"/>
                <w:szCs w:val="24"/>
              </w:rPr>
              <w:t>偏离值</w:t>
            </w:r>
          </w:p>
        </w:tc>
      </w:tr>
      <w:tr w14:paraId="6C24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05" w:type="dxa"/>
            <w:vAlign w:val="center"/>
          </w:tcPr>
          <w:p w14:paraId="6B5478EA">
            <w:pPr>
              <w:spacing w:line="240" w:lineRule="atLeast"/>
              <w:jc w:val="center"/>
              <w:rPr>
                <w:b w:val="0"/>
                <w:bCs w:val="0"/>
                <w:sz w:val="24"/>
                <w:szCs w:val="24"/>
              </w:rPr>
            </w:pPr>
            <w:r>
              <w:rPr>
                <w:rFonts w:hint="eastAsia"/>
                <w:b w:val="0"/>
                <w:bCs w:val="0"/>
                <w:sz w:val="24"/>
                <w:szCs w:val="24"/>
              </w:rPr>
              <w:t>1</w:t>
            </w:r>
          </w:p>
        </w:tc>
        <w:tc>
          <w:tcPr>
            <w:tcW w:w="1561" w:type="dxa"/>
            <w:tcBorders>
              <w:top w:val="single" w:color="auto" w:sz="4" w:space="0"/>
              <w:left w:val="single" w:color="auto" w:sz="4" w:space="0"/>
              <w:right w:val="single" w:color="auto" w:sz="4" w:space="0"/>
            </w:tcBorders>
            <w:shd w:val="clear" w:color="auto" w:fill="auto"/>
            <w:vAlign w:val="center"/>
          </w:tcPr>
          <w:p w14:paraId="72D7432B">
            <w:pPr>
              <w:keepNext w:val="0"/>
              <w:keepLines w:val="0"/>
              <w:pageBreakBefore w:val="0"/>
              <w:widowControl w:val="0"/>
              <w:tabs>
                <w:tab w:val="left" w:pos="6915"/>
              </w:tabs>
              <w:kinsoku/>
              <w:wordWrap/>
              <w:overflowPunct w:val="0"/>
              <w:topLinePunct w:val="0"/>
              <w:autoSpaceDE/>
              <w:autoSpaceDN/>
              <w:bidi w:val="0"/>
              <w:adjustRightInd w:val="0"/>
              <w:snapToGrid w:val="0"/>
              <w:spacing w:line="264" w:lineRule="auto"/>
              <w:jc w:val="center"/>
              <w:textAlignment w:val="auto"/>
              <w:rPr>
                <w:rFonts w:hint="default" w:eastAsiaTheme="minorEastAsia"/>
                <w:b w:val="0"/>
                <w:bCs w:val="0"/>
                <w:sz w:val="24"/>
                <w:szCs w:val="24"/>
                <w:lang w:val="en-US" w:eastAsia="zh-CN"/>
              </w:rPr>
            </w:pPr>
            <w:r>
              <w:rPr>
                <w:rFonts w:hint="eastAsia" w:asciiTheme="minorEastAsia" w:hAnsiTheme="minorEastAsia" w:eastAsiaTheme="minorEastAsia"/>
                <w:b w:val="0"/>
                <w:bCs w:val="0"/>
                <w:sz w:val="24"/>
                <w:szCs w:val="24"/>
              </w:rPr>
              <w:t>无氧铜</w:t>
            </w:r>
            <w:r>
              <w:rPr>
                <w:rFonts w:hint="eastAsia" w:asciiTheme="minorEastAsia" w:hAnsiTheme="minorEastAsia" w:eastAsiaTheme="minorEastAsia"/>
                <w:b w:val="0"/>
                <w:bCs w:val="0"/>
                <w:sz w:val="24"/>
                <w:szCs w:val="24"/>
              </w:rPr>
              <w:br w:type="textWrapping"/>
            </w:r>
            <w:r>
              <w:rPr>
                <w:rFonts w:hint="eastAsia" w:asciiTheme="minorEastAsia" w:hAnsiTheme="minorEastAsia" w:eastAsiaTheme="minorEastAsia"/>
                <w:b w:val="0"/>
                <w:bCs w:val="0"/>
                <w:sz w:val="24"/>
                <w:szCs w:val="24"/>
              </w:rPr>
              <w:t>原材料</w:t>
            </w:r>
            <w:r>
              <w:rPr>
                <w:rFonts w:hint="eastAsia" w:asciiTheme="minorEastAsia" w:hAnsiTheme="minorEastAsia" w:eastAsiaTheme="minorEastAsia"/>
                <w:b w:val="0"/>
                <w:bCs w:val="0"/>
                <w:sz w:val="24"/>
                <w:szCs w:val="24"/>
              </w:rPr>
              <w:br w:type="textWrapping"/>
            </w:r>
          </w:p>
        </w:tc>
        <w:tc>
          <w:tcPr>
            <w:tcW w:w="5322" w:type="dxa"/>
            <w:vAlign w:val="center"/>
          </w:tcPr>
          <w:p w14:paraId="6C0EA53D">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rPr>
              <w:t>本次采购的原材料用于超级陶璨装置关键技术攻关项目束流测试平台微波加速结构微波系统研制。材质为 TU00无氧铜材料，需满足以下参数：</w:t>
            </w:r>
          </w:p>
          <w:p w14:paraId="5E5726A9">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rPr>
              <w:t>铜含量≥99.993%，氧含量≤5ppm，氢含量≤1.2ppm，其他单一杂质≤25ppm。材质成分要有中国认可国际互认的检测机构检测报告，具有 CNAS 或者 ilac-MRA 标签，测试成分范围至少包含 P、Ag、Bi、Sb、As、Fe、Ni、Pb、Sn、S、Zn、</w:t>
            </w:r>
            <w:r>
              <w:rPr>
                <w:rFonts w:hint="eastAsia" w:ascii="宋体" w:hAnsi="宋体" w:eastAsia="宋体" w:cs="宋体"/>
                <w:sz w:val="24"/>
                <w:szCs w:val="24"/>
                <w:lang w:val="en-US" w:eastAsia="zh-CN"/>
              </w:rPr>
              <w:t>O</w:t>
            </w:r>
            <w:r>
              <w:rPr>
                <w:rFonts w:ascii="宋体" w:hAnsi="宋体" w:eastAsia="宋体" w:cs="宋体"/>
                <w:sz w:val="24"/>
                <w:szCs w:val="24"/>
              </w:rPr>
              <w:t>、Cd、Te、Se、Mn、H、C、Cr、Si、Co、Ta、Rh、Al、Mo、Cu等 26 种元素成分。</w:t>
            </w:r>
          </w:p>
          <w:p w14:paraId="56667706">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rPr>
              <w:t>圆管内径公差 ±0.05mm，外径公差 + 0.1～0.2mm，圆管内表面粗糙度 Ra0.8；要求棒料外圆规整，圆度误差≤±0.5mm，材料长度误差≤1mm；内部材质</w:t>
            </w:r>
            <w:r>
              <w:rPr>
                <w:rFonts w:hint="eastAsia" w:ascii="宋体" w:hAnsi="宋体" w:eastAsia="宋体" w:cs="宋体"/>
                <w:sz w:val="24"/>
                <w:szCs w:val="24"/>
                <w:lang w:eastAsia="zh-CN"/>
              </w:rPr>
              <w:t>成分</w:t>
            </w:r>
            <w:r>
              <w:rPr>
                <w:rFonts w:ascii="宋体" w:hAnsi="宋体" w:eastAsia="宋体" w:cs="宋体"/>
                <w:sz w:val="24"/>
                <w:szCs w:val="24"/>
              </w:rPr>
              <w:t>均匀一致，无砂眼等缺陷。</w:t>
            </w:r>
          </w:p>
          <w:p w14:paraId="29F1AE4A">
            <w:pPr>
              <w:keepNext w:val="0"/>
              <w:keepLines w:val="0"/>
              <w:pageBreakBefore w:val="0"/>
              <w:tabs>
                <w:tab w:val="left" w:pos="6915"/>
              </w:tabs>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无氧铜材料清单</w:t>
            </w:r>
          </w:p>
          <w:tbl>
            <w:tblPr>
              <w:tblStyle w:val="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autofit"/>
              <w:tblCellMar>
                <w:top w:w="17" w:type="dxa"/>
                <w:left w:w="17" w:type="dxa"/>
                <w:bottom w:w="17" w:type="dxa"/>
                <w:right w:w="17" w:type="dxa"/>
              </w:tblCellMar>
            </w:tblPr>
            <w:tblGrid>
              <w:gridCol w:w="713"/>
              <w:gridCol w:w="1288"/>
              <w:gridCol w:w="1875"/>
              <w:gridCol w:w="900"/>
            </w:tblGrid>
            <w:tr w14:paraId="25373C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tblHeader/>
                <w:jc w:val="center"/>
              </w:trPr>
              <w:tc>
                <w:tcPr>
                  <w:tcW w:w="713" w:type="dxa"/>
                  <w:tcBorders>
                    <w:tl2br w:val="nil"/>
                    <w:tr2bl w:val="nil"/>
                  </w:tcBorders>
                  <w:shd w:val="clear" w:color="auto" w:fill="auto"/>
                  <w:vAlign w:val="center"/>
                </w:tcPr>
                <w:p w14:paraId="7AC3EA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序号</w:t>
                  </w:r>
                </w:p>
              </w:tc>
              <w:tc>
                <w:tcPr>
                  <w:tcW w:w="1288" w:type="dxa"/>
                  <w:tcBorders>
                    <w:tl2br w:val="nil"/>
                    <w:tr2bl w:val="nil"/>
                  </w:tcBorders>
                  <w:shd w:val="clear" w:color="auto" w:fill="auto"/>
                  <w:vAlign w:val="center"/>
                </w:tcPr>
                <w:p w14:paraId="7CA6F8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名称</w:t>
                  </w:r>
                </w:p>
              </w:tc>
              <w:tc>
                <w:tcPr>
                  <w:tcW w:w="1875" w:type="dxa"/>
                  <w:tcBorders>
                    <w:tl2br w:val="nil"/>
                    <w:tr2bl w:val="nil"/>
                  </w:tcBorders>
                  <w:shd w:val="clear" w:color="auto" w:fill="auto"/>
                  <w:vAlign w:val="center"/>
                </w:tcPr>
                <w:p w14:paraId="5A35A3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尺寸规格 / 长度</w:t>
                  </w:r>
                </w:p>
              </w:tc>
              <w:tc>
                <w:tcPr>
                  <w:tcW w:w="900" w:type="dxa"/>
                  <w:tcBorders>
                    <w:tl2br w:val="nil"/>
                    <w:tr2bl w:val="nil"/>
                  </w:tcBorders>
                  <w:shd w:val="clear" w:color="auto" w:fill="auto"/>
                  <w:vAlign w:val="center"/>
                </w:tcPr>
                <w:p w14:paraId="427853F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数量</w:t>
                  </w:r>
                </w:p>
              </w:tc>
            </w:tr>
            <w:tr w14:paraId="23048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69AFEB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1</w:t>
                  </w:r>
                </w:p>
              </w:tc>
              <w:tc>
                <w:tcPr>
                  <w:tcW w:w="1288" w:type="dxa"/>
                  <w:tcBorders>
                    <w:tl2br w:val="nil"/>
                    <w:tr2bl w:val="nil"/>
                  </w:tcBorders>
                  <w:shd w:val="clear" w:color="auto" w:fill="auto"/>
                  <w:vAlign w:val="center"/>
                </w:tcPr>
                <w:p w14:paraId="690381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圆波导管</w:t>
                  </w:r>
                </w:p>
              </w:tc>
              <w:tc>
                <w:tcPr>
                  <w:tcW w:w="1875" w:type="dxa"/>
                  <w:tcBorders>
                    <w:tl2br w:val="nil"/>
                    <w:tr2bl w:val="nil"/>
                  </w:tcBorders>
                  <w:shd w:val="clear" w:color="auto" w:fill="auto"/>
                  <w:vAlign w:val="center"/>
                </w:tcPr>
                <w:p w14:paraId="549CF5F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（内径Φ50/外径Φ54）20 米</w:t>
                  </w:r>
                </w:p>
              </w:tc>
              <w:tc>
                <w:tcPr>
                  <w:tcW w:w="900" w:type="dxa"/>
                  <w:tcBorders>
                    <w:tl2br w:val="nil"/>
                    <w:tr2bl w:val="nil"/>
                  </w:tcBorders>
                  <w:shd w:val="clear" w:color="auto" w:fill="auto"/>
                  <w:vAlign w:val="center"/>
                </w:tcPr>
                <w:p w14:paraId="73574B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1</w:t>
                  </w:r>
                </w:p>
              </w:tc>
            </w:tr>
            <w:tr w14:paraId="4E8689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118AB1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c>
                <w:tcPr>
                  <w:tcW w:w="1288" w:type="dxa"/>
                  <w:tcBorders>
                    <w:tl2br w:val="nil"/>
                    <w:tr2bl w:val="nil"/>
                  </w:tcBorders>
                  <w:shd w:val="clear" w:color="auto" w:fill="auto"/>
                  <w:vAlign w:val="center"/>
                </w:tcPr>
                <w:p w14:paraId="78B5FE5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391D81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直径120*1米</w:t>
                  </w:r>
                </w:p>
              </w:tc>
              <w:tc>
                <w:tcPr>
                  <w:tcW w:w="900" w:type="dxa"/>
                  <w:tcBorders>
                    <w:tl2br w:val="nil"/>
                    <w:tr2bl w:val="nil"/>
                  </w:tcBorders>
                  <w:shd w:val="clear" w:color="auto" w:fill="auto"/>
                  <w:vAlign w:val="center"/>
                </w:tcPr>
                <w:p w14:paraId="2B2FE72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4</w:t>
                  </w:r>
                </w:p>
              </w:tc>
            </w:tr>
            <w:tr w14:paraId="1F56B0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3D35FF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3</w:t>
                  </w:r>
                </w:p>
              </w:tc>
              <w:tc>
                <w:tcPr>
                  <w:tcW w:w="1288" w:type="dxa"/>
                  <w:tcBorders>
                    <w:tl2br w:val="nil"/>
                    <w:tr2bl w:val="nil"/>
                  </w:tcBorders>
                  <w:shd w:val="clear" w:color="auto" w:fill="auto"/>
                  <w:vAlign w:val="center"/>
                </w:tcPr>
                <w:p w14:paraId="74322E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04155A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直径70*1米</w:t>
                  </w:r>
                </w:p>
              </w:tc>
              <w:tc>
                <w:tcPr>
                  <w:tcW w:w="900" w:type="dxa"/>
                  <w:tcBorders>
                    <w:tl2br w:val="nil"/>
                    <w:tr2bl w:val="nil"/>
                  </w:tcBorders>
                  <w:shd w:val="clear" w:color="auto" w:fill="auto"/>
                  <w:vAlign w:val="center"/>
                </w:tcPr>
                <w:p w14:paraId="393244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r w14:paraId="1CCC7B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554666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4</w:t>
                  </w:r>
                </w:p>
              </w:tc>
              <w:tc>
                <w:tcPr>
                  <w:tcW w:w="1288" w:type="dxa"/>
                  <w:tcBorders>
                    <w:tl2br w:val="nil"/>
                    <w:tr2bl w:val="nil"/>
                  </w:tcBorders>
                  <w:shd w:val="clear" w:color="auto" w:fill="auto"/>
                  <w:vAlign w:val="center"/>
                </w:tcPr>
                <w:p w14:paraId="30E6FA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2189A6D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直径75*1米</w:t>
                  </w:r>
                </w:p>
              </w:tc>
              <w:tc>
                <w:tcPr>
                  <w:tcW w:w="900" w:type="dxa"/>
                  <w:tcBorders>
                    <w:tl2br w:val="nil"/>
                    <w:tr2bl w:val="nil"/>
                  </w:tcBorders>
                  <w:shd w:val="clear" w:color="auto" w:fill="auto"/>
                  <w:vAlign w:val="center"/>
                </w:tcPr>
                <w:p w14:paraId="4797C4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r w14:paraId="76B40F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0D1772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5</w:t>
                  </w:r>
                </w:p>
              </w:tc>
              <w:tc>
                <w:tcPr>
                  <w:tcW w:w="1288" w:type="dxa"/>
                  <w:tcBorders>
                    <w:tl2br w:val="nil"/>
                    <w:tr2bl w:val="nil"/>
                  </w:tcBorders>
                  <w:shd w:val="clear" w:color="auto" w:fill="auto"/>
                  <w:vAlign w:val="center"/>
                </w:tcPr>
                <w:p w14:paraId="4BBB40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219E5C8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直径140*1米</w:t>
                  </w:r>
                </w:p>
              </w:tc>
              <w:tc>
                <w:tcPr>
                  <w:tcW w:w="900" w:type="dxa"/>
                  <w:tcBorders>
                    <w:tl2br w:val="nil"/>
                    <w:tr2bl w:val="nil"/>
                  </w:tcBorders>
                  <w:shd w:val="clear" w:color="auto" w:fill="auto"/>
                  <w:vAlign w:val="center"/>
                </w:tcPr>
                <w:p w14:paraId="0D0E11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1</w:t>
                  </w:r>
                </w:p>
              </w:tc>
            </w:tr>
            <w:tr w14:paraId="18C853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61E0E2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6</w:t>
                  </w:r>
                </w:p>
              </w:tc>
              <w:tc>
                <w:tcPr>
                  <w:tcW w:w="1288" w:type="dxa"/>
                  <w:tcBorders>
                    <w:tl2br w:val="nil"/>
                    <w:tr2bl w:val="nil"/>
                  </w:tcBorders>
                  <w:shd w:val="clear" w:color="auto" w:fill="auto"/>
                  <w:vAlign w:val="center"/>
                </w:tcPr>
                <w:p w14:paraId="3AE291D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1B14C3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直径145*1米</w:t>
                  </w:r>
                </w:p>
              </w:tc>
              <w:tc>
                <w:tcPr>
                  <w:tcW w:w="900" w:type="dxa"/>
                  <w:tcBorders>
                    <w:tl2br w:val="nil"/>
                    <w:tr2bl w:val="nil"/>
                  </w:tcBorders>
                  <w:shd w:val="clear" w:color="auto" w:fill="auto"/>
                  <w:vAlign w:val="center"/>
                </w:tcPr>
                <w:p w14:paraId="736842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r w14:paraId="0C1DA2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651149A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7</w:t>
                  </w:r>
                </w:p>
              </w:tc>
              <w:tc>
                <w:tcPr>
                  <w:tcW w:w="1288" w:type="dxa"/>
                  <w:tcBorders>
                    <w:tl2br w:val="nil"/>
                    <w:tr2bl w:val="nil"/>
                  </w:tcBorders>
                  <w:shd w:val="clear" w:color="auto" w:fill="auto"/>
                  <w:vAlign w:val="center"/>
                </w:tcPr>
                <w:p w14:paraId="74A903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0762924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直径150*1米</w:t>
                  </w:r>
                </w:p>
              </w:tc>
              <w:tc>
                <w:tcPr>
                  <w:tcW w:w="900" w:type="dxa"/>
                  <w:tcBorders>
                    <w:tl2br w:val="nil"/>
                    <w:tr2bl w:val="nil"/>
                  </w:tcBorders>
                  <w:shd w:val="clear" w:color="auto" w:fill="auto"/>
                  <w:vAlign w:val="center"/>
                </w:tcPr>
                <w:p w14:paraId="6CBBF6E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r w14:paraId="531367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68AB19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8</w:t>
                  </w:r>
                </w:p>
              </w:tc>
              <w:tc>
                <w:tcPr>
                  <w:tcW w:w="1288" w:type="dxa"/>
                  <w:tcBorders>
                    <w:tl2br w:val="nil"/>
                    <w:tr2bl w:val="nil"/>
                  </w:tcBorders>
                  <w:shd w:val="clear" w:color="auto" w:fill="auto"/>
                  <w:vAlign w:val="center"/>
                </w:tcPr>
                <w:p w14:paraId="2FDE22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无氧铜棒料</w:t>
                  </w:r>
                </w:p>
              </w:tc>
              <w:tc>
                <w:tcPr>
                  <w:tcW w:w="1875" w:type="dxa"/>
                  <w:tcBorders>
                    <w:tl2br w:val="nil"/>
                    <w:tr2bl w:val="nil"/>
                  </w:tcBorders>
                  <w:shd w:val="clear" w:color="auto" w:fill="auto"/>
                  <w:vAlign w:val="center"/>
                </w:tcPr>
                <w:p w14:paraId="64111B7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直径180*1米</w:t>
                  </w:r>
                </w:p>
              </w:tc>
              <w:tc>
                <w:tcPr>
                  <w:tcW w:w="900" w:type="dxa"/>
                  <w:tcBorders>
                    <w:tl2br w:val="nil"/>
                    <w:tr2bl w:val="nil"/>
                  </w:tcBorders>
                  <w:shd w:val="clear" w:color="auto" w:fill="auto"/>
                  <w:vAlign w:val="center"/>
                </w:tcPr>
                <w:p w14:paraId="4F8ECD2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r w14:paraId="66EB30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7BB6FA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9</w:t>
                  </w:r>
                </w:p>
              </w:tc>
              <w:tc>
                <w:tcPr>
                  <w:tcW w:w="1288" w:type="dxa"/>
                  <w:tcBorders>
                    <w:tl2br w:val="nil"/>
                    <w:tr2bl w:val="nil"/>
                  </w:tcBorders>
                  <w:shd w:val="clear" w:color="auto" w:fill="auto"/>
                  <w:vAlign w:val="center"/>
                </w:tcPr>
                <w:p w14:paraId="699134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无氧铜板料</w:t>
                  </w:r>
                </w:p>
              </w:tc>
              <w:tc>
                <w:tcPr>
                  <w:tcW w:w="1875" w:type="dxa"/>
                  <w:tcBorders>
                    <w:tl2br w:val="nil"/>
                    <w:tr2bl w:val="nil"/>
                  </w:tcBorders>
                  <w:shd w:val="clear" w:color="auto" w:fill="auto"/>
                  <w:vAlign w:val="center"/>
                </w:tcPr>
                <w:p w14:paraId="668973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800*350*20</w:t>
                  </w:r>
                </w:p>
              </w:tc>
              <w:tc>
                <w:tcPr>
                  <w:tcW w:w="900" w:type="dxa"/>
                  <w:tcBorders>
                    <w:tl2br w:val="nil"/>
                    <w:tr2bl w:val="nil"/>
                  </w:tcBorders>
                  <w:shd w:val="clear" w:color="auto" w:fill="auto"/>
                  <w:vAlign w:val="center"/>
                </w:tcPr>
                <w:p w14:paraId="46E745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r w14:paraId="2F52C7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17" w:type="dxa"/>
                  <w:left w:w="17" w:type="dxa"/>
                  <w:bottom w:w="17" w:type="dxa"/>
                  <w:right w:w="17" w:type="dxa"/>
                </w:tblCellMar>
              </w:tblPrEx>
              <w:trPr>
                <w:jc w:val="center"/>
              </w:trPr>
              <w:tc>
                <w:tcPr>
                  <w:tcW w:w="713" w:type="dxa"/>
                  <w:tcBorders>
                    <w:tl2br w:val="nil"/>
                    <w:tr2bl w:val="nil"/>
                  </w:tcBorders>
                  <w:shd w:val="clear" w:color="auto" w:fill="auto"/>
                  <w:vAlign w:val="center"/>
                </w:tcPr>
                <w:p w14:paraId="41494F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10</w:t>
                  </w:r>
                </w:p>
              </w:tc>
              <w:tc>
                <w:tcPr>
                  <w:tcW w:w="1288" w:type="dxa"/>
                  <w:tcBorders>
                    <w:tl2br w:val="nil"/>
                    <w:tr2bl w:val="nil"/>
                  </w:tcBorders>
                  <w:shd w:val="clear" w:color="auto" w:fill="auto"/>
                  <w:vAlign w:val="center"/>
                </w:tcPr>
                <w:p w14:paraId="2ECC16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无氧铜板料</w:t>
                  </w:r>
                </w:p>
              </w:tc>
              <w:tc>
                <w:tcPr>
                  <w:tcW w:w="1875" w:type="dxa"/>
                  <w:tcBorders>
                    <w:tl2br w:val="nil"/>
                    <w:tr2bl w:val="nil"/>
                  </w:tcBorders>
                  <w:shd w:val="clear" w:color="auto" w:fill="auto"/>
                  <w:vAlign w:val="center"/>
                </w:tcPr>
                <w:p w14:paraId="0485D5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800*350*10</w:t>
                  </w:r>
                </w:p>
              </w:tc>
              <w:tc>
                <w:tcPr>
                  <w:tcW w:w="900" w:type="dxa"/>
                  <w:tcBorders>
                    <w:tl2br w:val="nil"/>
                    <w:tr2bl w:val="nil"/>
                  </w:tcBorders>
                  <w:shd w:val="clear" w:color="auto" w:fill="auto"/>
                  <w:vAlign w:val="center"/>
                </w:tcPr>
                <w:p w14:paraId="551B94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Arial" w:hAnsi="Arial" w:eastAsia="宋体" w:cs="Arial"/>
                      <w:b w:val="0"/>
                      <w:bCs w:val="0"/>
                    </w:rPr>
                  </w:pPr>
                  <w:r>
                    <w:rPr>
                      <w:rFonts w:hint="default" w:ascii="Arial" w:hAnsi="Arial" w:eastAsia="宋体" w:cs="Arial"/>
                      <w:b w:val="0"/>
                      <w:bCs w:val="0"/>
                      <w:kern w:val="0"/>
                      <w:sz w:val="24"/>
                      <w:szCs w:val="24"/>
                      <w:lang w:val="en-US" w:eastAsia="zh-CN" w:bidi="ar"/>
                    </w:rPr>
                    <w:t>2</w:t>
                  </w:r>
                </w:p>
              </w:tc>
            </w:tr>
          </w:tbl>
          <w:p w14:paraId="4F44A384">
            <w:pPr>
              <w:keepNext w:val="0"/>
              <w:keepLines w:val="0"/>
              <w:pageBreakBefore w:val="0"/>
              <w:kinsoku/>
              <w:wordWrap/>
              <w:overflowPunct/>
              <w:topLinePunct w:val="0"/>
              <w:autoSpaceDE/>
              <w:autoSpaceDN/>
              <w:bidi w:val="0"/>
              <w:adjustRightInd w:val="0"/>
              <w:snapToGrid w:val="0"/>
              <w:spacing w:line="240" w:lineRule="auto"/>
              <w:textAlignment w:val="auto"/>
              <w:rPr>
                <w:rFonts w:hint="eastAsia"/>
                <w:bCs/>
                <w:sz w:val="24"/>
                <w:szCs w:val="24"/>
              </w:rPr>
            </w:pPr>
          </w:p>
        </w:tc>
        <w:tc>
          <w:tcPr>
            <w:tcW w:w="1201" w:type="dxa"/>
            <w:vAlign w:val="center"/>
          </w:tcPr>
          <w:p w14:paraId="3494B2B7">
            <w:pPr>
              <w:spacing w:line="240" w:lineRule="atLeast"/>
              <w:jc w:val="center"/>
              <w:rPr>
                <w:sz w:val="24"/>
                <w:szCs w:val="24"/>
              </w:rPr>
            </w:pPr>
          </w:p>
        </w:tc>
        <w:tc>
          <w:tcPr>
            <w:tcW w:w="992" w:type="dxa"/>
            <w:vAlign w:val="center"/>
          </w:tcPr>
          <w:p w14:paraId="4AB5E24F">
            <w:pPr>
              <w:spacing w:line="240" w:lineRule="atLeast"/>
              <w:jc w:val="center"/>
              <w:rPr>
                <w:sz w:val="24"/>
                <w:szCs w:val="24"/>
              </w:rPr>
            </w:pPr>
          </w:p>
        </w:tc>
      </w:tr>
      <w:tr w14:paraId="41B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705" w:type="dxa"/>
            <w:vAlign w:val="center"/>
          </w:tcPr>
          <w:p w14:paraId="1FB5921D">
            <w:pPr>
              <w:spacing w:line="240" w:lineRule="atLeast"/>
              <w:jc w:val="center"/>
              <w:rPr>
                <w:sz w:val="24"/>
                <w:szCs w:val="24"/>
              </w:rPr>
            </w:pPr>
            <w:r>
              <w:rPr>
                <w:sz w:val="24"/>
                <w:szCs w:val="24"/>
              </w:rP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6E87ED25">
            <w:pPr>
              <w:widowControl/>
              <w:spacing w:line="240" w:lineRule="atLeast"/>
              <w:jc w:val="center"/>
              <w:rPr>
                <w:sz w:val="24"/>
                <w:szCs w:val="24"/>
              </w:rPr>
            </w:pPr>
            <w:r>
              <w:rPr>
                <w:rFonts w:hint="eastAsia"/>
                <w:sz w:val="24"/>
                <w:szCs w:val="24"/>
              </w:rPr>
              <w:t>商务条款</w:t>
            </w:r>
          </w:p>
        </w:tc>
        <w:tc>
          <w:tcPr>
            <w:tcW w:w="5322" w:type="dxa"/>
            <w:tcBorders>
              <w:top w:val="single" w:color="auto" w:sz="4" w:space="0"/>
              <w:left w:val="nil"/>
              <w:bottom w:val="single" w:color="auto" w:sz="4" w:space="0"/>
              <w:right w:val="single" w:color="auto" w:sz="4" w:space="0"/>
            </w:tcBorders>
            <w:shd w:val="clear" w:color="auto" w:fill="auto"/>
            <w:vAlign w:val="center"/>
          </w:tcPr>
          <w:p w14:paraId="78E751F2">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4"/>
                <w:szCs w:val="24"/>
                <w:lang w:eastAsia="zh-CN"/>
              </w:rPr>
            </w:pPr>
            <w:r>
              <w:rPr>
                <w:rFonts w:ascii="宋体" w:hAnsi="宋体" w:eastAsia="宋体" w:cs="宋体"/>
                <w:b/>
                <w:bCs/>
                <w:sz w:val="24"/>
                <w:szCs w:val="24"/>
              </w:rPr>
              <w:t>交货期：</w:t>
            </w:r>
            <w:r>
              <w:rPr>
                <w:rFonts w:ascii="宋体" w:hAnsi="宋体" w:eastAsia="宋体" w:cs="宋体"/>
                <w:sz w:val="24"/>
                <w:szCs w:val="24"/>
              </w:rPr>
              <w:t>合同生效30个工作日</w:t>
            </w:r>
            <w:bookmarkStart w:id="0" w:name="_GoBack"/>
            <w:bookmarkEnd w:id="0"/>
            <w:r>
              <w:rPr>
                <w:rFonts w:hint="eastAsia" w:ascii="宋体" w:hAnsi="宋体" w:eastAsia="宋体" w:cs="宋体"/>
                <w:sz w:val="24"/>
                <w:szCs w:val="24"/>
                <w:lang w:eastAsia="zh-CN"/>
              </w:rPr>
              <w:t>。</w:t>
            </w:r>
          </w:p>
          <w:p w14:paraId="298A4789">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4"/>
                <w:szCs w:val="24"/>
                <w:lang w:val="en-US" w:eastAsia="zh-CN"/>
              </w:rPr>
            </w:pPr>
            <w:r>
              <w:rPr>
                <w:rFonts w:ascii="宋体" w:hAnsi="宋体" w:eastAsia="宋体" w:cs="宋体"/>
                <w:b/>
                <w:bCs/>
                <w:sz w:val="24"/>
                <w:szCs w:val="24"/>
              </w:rPr>
              <w:t>交付进度</w:t>
            </w:r>
            <w:r>
              <w:rPr>
                <w:rFonts w:ascii="宋体" w:hAnsi="宋体" w:eastAsia="宋体" w:cs="宋体"/>
                <w:sz w:val="24"/>
                <w:szCs w:val="24"/>
              </w:rPr>
              <w:t>：</w:t>
            </w:r>
            <w:r>
              <w:rPr>
                <w:rFonts w:hint="eastAsia" w:ascii="宋体" w:hAnsi="宋体" w:eastAsia="宋体" w:cs="宋体"/>
                <w:sz w:val="24"/>
                <w:szCs w:val="24"/>
                <w:lang w:val="en-US" w:eastAsia="zh-CN"/>
              </w:rPr>
              <w:t>一次性交付。</w:t>
            </w:r>
          </w:p>
          <w:p w14:paraId="69D88BC2">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b/>
                <w:bCs/>
                <w:sz w:val="24"/>
                <w:szCs w:val="24"/>
              </w:rPr>
              <w:t>付款方式：</w:t>
            </w:r>
            <w:r>
              <w:rPr>
                <w:rFonts w:ascii="宋体" w:hAnsi="宋体" w:eastAsia="宋体" w:cs="宋体"/>
                <w:sz w:val="24"/>
                <w:szCs w:val="24"/>
              </w:rPr>
              <w:t>合同生效后，付款50%作为预付款，货到我方现场检验合格后支付余款。</w:t>
            </w:r>
          </w:p>
          <w:p w14:paraId="5364CDCA">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sz w:val="24"/>
                <w:szCs w:val="24"/>
                <w:lang w:eastAsia="zh-CN"/>
              </w:rPr>
            </w:pPr>
            <w:r>
              <w:rPr>
                <w:rFonts w:ascii="宋体" w:hAnsi="宋体" w:eastAsia="宋体" w:cs="宋体"/>
                <w:b/>
                <w:bCs/>
                <w:sz w:val="24"/>
                <w:szCs w:val="24"/>
              </w:rPr>
              <w:t>验收指标及验收要求</w:t>
            </w:r>
            <w:r>
              <w:rPr>
                <w:rFonts w:hint="eastAsia" w:ascii="宋体" w:hAnsi="宋体" w:eastAsia="宋体" w:cs="宋体"/>
                <w:b/>
                <w:bCs/>
                <w:sz w:val="24"/>
                <w:szCs w:val="24"/>
                <w:lang w:eastAsia="zh-CN"/>
              </w:rPr>
              <w:t>：</w:t>
            </w:r>
          </w:p>
          <w:p w14:paraId="10275896">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sz w:val="24"/>
                <w:szCs w:val="24"/>
              </w:rPr>
              <w:t>1、按采购数量规格清单核验数量规格；</w:t>
            </w:r>
          </w:p>
          <w:p w14:paraId="32AC8A26">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sz w:val="24"/>
                <w:szCs w:val="24"/>
              </w:rPr>
              <w:t>2、圆管内径公差±0.05mm，外径公差+0.1～0.2mm，圆管内表面粗糙度Ra0.8，要求棒料外圆规整，圆度误差≤±0.5mm，材料长度误差≤1mm；</w:t>
            </w:r>
          </w:p>
          <w:p w14:paraId="63D32809">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sz w:val="24"/>
                <w:szCs w:val="24"/>
              </w:rPr>
              <w:t>3、厂家出具具有CNAS或者ilac-MRA标签的第三方材质检测报告，我方随机取样材质成分化验验证，化验结果均需符合以下要求：铜含量≥99.993%，氧含量≤5ppm，氢含量≤1.2ppm，其他单一杂质≤25ppm。且验证报告与厂家提供出厂测试报告数值相当。</w:t>
            </w:r>
          </w:p>
          <w:p w14:paraId="4D1FE79C">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b/>
                <w:bCs/>
                <w:sz w:val="24"/>
                <w:szCs w:val="24"/>
              </w:rPr>
              <w:t>阶段性检查要求</w:t>
            </w:r>
            <w:r>
              <w:rPr>
                <w:rFonts w:ascii="宋体" w:hAnsi="宋体" w:eastAsia="宋体" w:cs="宋体"/>
                <w:sz w:val="24"/>
                <w:szCs w:val="24"/>
              </w:rPr>
              <w:t>：产品交付前提供该批货物材质检测报告，合格后发货。</w:t>
            </w:r>
          </w:p>
          <w:p w14:paraId="77BA9D41">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b/>
                <w:bCs/>
                <w:sz w:val="24"/>
                <w:szCs w:val="24"/>
              </w:rPr>
              <w:t>保修及售后服务</w:t>
            </w:r>
            <w:r>
              <w:rPr>
                <w:rFonts w:ascii="宋体" w:hAnsi="宋体" w:eastAsia="宋体" w:cs="宋体"/>
                <w:sz w:val="24"/>
                <w:szCs w:val="24"/>
              </w:rPr>
              <w:t>：若加工过</w:t>
            </w:r>
            <w:r>
              <w:rPr>
                <w:rFonts w:hint="eastAsia" w:ascii="宋体" w:hAnsi="宋体" w:eastAsia="宋体" w:cs="宋体"/>
                <w:sz w:val="24"/>
                <w:szCs w:val="24"/>
                <w:lang w:eastAsia="zh-CN"/>
              </w:rPr>
              <w:t>程中</w:t>
            </w:r>
            <w:r>
              <w:rPr>
                <w:rFonts w:ascii="宋体" w:hAnsi="宋体" w:eastAsia="宋体" w:cs="宋体"/>
                <w:sz w:val="24"/>
                <w:szCs w:val="24"/>
              </w:rPr>
              <w:t>出现气孔、砂眼等缺陷现象，厂家承担退换货及对项目造成影响的一切费用。</w:t>
            </w:r>
          </w:p>
          <w:p w14:paraId="3A7EE4D7">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b/>
                <w:bCs/>
                <w:sz w:val="24"/>
                <w:szCs w:val="24"/>
              </w:rPr>
              <w:t>其它：</w:t>
            </w:r>
            <w:r>
              <w:rPr>
                <w:rFonts w:ascii="宋体" w:hAnsi="宋体" w:eastAsia="宋体" w:cs="宋体"/>
                <w:sz w:val="24"/>
                <w:szCs w:val="24"/>
              </w:rPr>
              <w:t>报价需附：</w:t>
            </w:r>
          </w:p>
          <w:p w14:paraId="385E532A">
            <w:pPr>
              <w:keepNext w:val="0"/>
              <w:keepLines w:val="0"/>
              <w:pageBreakBefore w:val="0"/>
              <w:tabs>
                <w:tab w:val="left" w:pos="6915"/>
              </w:tabs>
              <w:kinsoku/>
              <w:wordWrap/>
              <w:overflowPunct/>
              <w:topLinePunct w:val="0"/>
              <w:autoSpaceDE/>
              <w:autoSpaceDN/>
              <w:bidi w:val="0"/>
              <w:adjustRightInd w:val="0"/>
              <w:snapToGrid w:val="0"/>
              <w:spacing w:line="240" w:lineRule="auto"/>
              <w:jc w:val="left"/>
              <w:textAlignment w:val="auto"/>
              <w:rPr>
                <w:rFonts w:ascii="宋体" w:hAnsi="宋体" w:eastAsia="宋体" w:cs="宋体"/>
                <w:sz w:val="24"/>
                <w:szCs w:val="24"/>
              </w:rPr>
            </w:pPr>
            <w:r>
              <w:rPr>
                <w:rFonts w:ascii="宋体" w:hAnsi="宋体" w:eastAsia="宋体" w:cs="宋体"/>
                <w:sz w:val="24"/>
                <w:szCs w:val="24"/>
              </w:rPr>
              <w:t xml:space="preserve"> 1、类似无氧铜供货业绩2份；</w:t>
            </w:r>
          </w:p>
          <w:p w14:paraId="390F6260">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ascii="宋体" w:hAnsi="宋体" w:eastAsia="宋体" w:cs="宋体"/>
                <w:sz w:val="24"/>
                <w:szCs w:val="24"/>
              </w:rPr>
              <w:t xml:space="preserve"> 2、具有CNAS或者ilac-MRA标签的检测报告，报告至少包含以上规定的26种元素，元素含量至少精确到0.1ppm。</w:t>
            </w:r>
          </w:p>
        </w:tc>
        <w:tc>
          <w:tcPr>
            <w:tcW w:w="1201" w:type="dxa"/>
            <w:vAlign w:val="center"/>
          </w:tcPr>
          <w:p w14:paraId="5D3E4FB5">
            <w:pPr>
              <w:spacing w:line="240" w:lineRule="atLeast"/>
              <w:jc w:val="center"/>
              <w:rPr>
                <w:sz w:val="24"/>
                <w:szCs w:val="24"/>
              </w:rPr>
            </w:pPr>
          </w:p>
        </w:tc>
        <w:tc>
          <w:tcPr>
            <w:tcW w:w="992" w:type="dxa"/>
            <w:vAlign w:val="center"/>
          </w:tcPr>
          <w:p w14:paraId="643744E8">
            <w:pPr>
              <w:spacing w:line="240" w:lineRule="atLeast"/>
              <w:jc w:val="center"/>
              <w:rPr>
                <w:sz w:val="24"/>
                <w:szCs w:val="24"/>
              </w:rPr>
            </w:pPr>
          </w:p>
        </w:tc>
      </w:tr>
    </w:tbl>
    <w:p w14:paraId="47969C03">
      <w:pPr>
        <w:wordWrap w:val="0"/>
        <w:ind w:right="840"/>
        <w:jc w:val="right"/>
        <w:rPr>
          <w:rFonts w:hint="eastAsia"/>
          <w:sz w:val="24"/>
          <w:szCs w:val="24"/>
          <w:lang w:val="en-US" w:eastAsia="zh-CN"/>
        </w:rPr>
      </w:pPr>
      <w:r>
        <w:rPr>
          <w:rFonts w:hint="eastAsia"/>
          <w:sz w:val="24"/>
          <w:szCs w:val="24"/>
          <w:lang w:val="en-US" w:eastAsia="zh-CN"/>
        </w:rPr>
        <w:t xml:space="preserve"> </w:t>
      </w:r>
    </w:p>
    <w:p w14:paraId="2A951803">
      <w:pPr>
        <w:wordWrap w:val="0"/>
        <w:ind w:right="840"/>
        <w:jc w:val="right"/>
        <w:rPr>
          <w:rFonts w:hint="eastAsia"/>
          <w:sz w:val="24"/>
          <w:szCs w:val="24"/>
          <w:lang w:val="en-US" w:eastAsia="zh-CN"/>
        </w:rPr>
      </w:pPr>
    </w:p>
    <w:p w14:paraId="00BC0982">
      <w:pPr>
        <w:wordWrap w:val="0"/>
        <w:ind w:right="840"/>
        <w:jc w:val="right"/>
        <w:rPr>
          <w:rFonts w:hint="default" w:eastAsiaTheme="minorEastAsia"/>
          <w:lang w:val="en-US" w:eastAsia="zh-CN"/>
        </w:rPr>
      </w:pPr>
      <w:r>
        <w:rPr>
          <w:rFonts w:hint="eastAsia"/>
          <w:sz w:val="24"/>
          <w:szCs w:val="24"/>
          <w:lang w:val="en-US" w:eastAsia="zh-CN"/>
        </w:rPr>
        <w:t xml:space="preserve"> </w:t>
      </w:r>
      <w:r>
        <w:rPr>
          <w:sz w:val="24"/>
          <w:szCs w:val="24"/>
        </w:rPr>
        <w:t>公司名称</w:t>
      </w:r>
      <w:r>
        <w:rPr>
          <w:rFonts w:hint="eastAsia"/>
          <w:sz w:val="24"/>
          <w:szCs w:val="24"/>
        </w:rPr>
        <w:t>（盖章）：</w:t>
      </w:r>
      <w:r>
        <w:rPr>
          <w:rFonts w:hint="eastAsia"/>
          <w:sz w:val="24"/>
          <w:szCs w:val="24"/>
        </w:rPr>
        <w:br w:type="textWrapping"/>
      </w:r>
      <w:r>
        <w:rPr>
          <w:sz w:val="24"/>
          <w:szCs w:val="24"/>
        </w:rPr>
        <w:t>日期</w:t>
      </w:r>
      <w:r>
        <w:rPr>
          <w:rFonts w:hint="eastAsia"/>
          <w:sz w:val="24"/>
          <w:szCs w:val="24"/>
        </w:rPr>
        <w:t>：</w:t>
      </w:r>
      <w:r>
        <w:rPr>
          <w:rFonts w:hint="eastAsia"/>
          <w:sz w:val="24"/>
          <w:szCs w:val="24"/>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F6C24"/>
    <w:rsid w:val="04EF6C24"/>
    <w:rsid w:val="0FAA3CAE"/>
    <w:rsid w:val="114B475B"/>
    <w:rsid w:val="12E879B8"/>
    <w:rsid w:val="188A1CA6"/>
    <w:rsid w:val="38C84348"/>
    <w:rsid w:val="390B6B1D"/>
    <w:rsid w:val="424D68E3"/>
    <w:rsid w:val="4B3473DA"/>
    <w:rsid w:val="50BB6F98"/>
    <w:rsid w:val="60854C98"/>
    <w:rsid w:val="667E6061"/>
    <w:rsid w:val="6A7D0963"/>
    <w:rsid w:val="7DDE6C50"/>
    <w:rsid w:val="7EF22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1211</Words>
  <Characters>1297</Characters>
  <Lines>0</Lines>
  <Paragraphs>0</Paragraphs>
  <TotalTime>18</TotalTime>
  <ScaleCrop>false</ScaleCrop>
  <LinksUpToDate>false</LinksUpToDate>
  <CharactersWithSpaces>1328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2026-07-17T08:11:00Z</dcterms:created>
  <dc:creator>DELL</dc:creator>
  <cp:lastModifiedBy>王小宇</cp:lastModifiedBy>
  <dcterms:modified xsi:type="dcterms:W3CDTF">2026-10-21T02:56:44Z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9C18DCCEAFD54B40B2BC1CE2877921FF_13</vt:lpwstr>
  </property>
  <property fmtid="{D5CDD505-2E9C-101B-9397-08002B2CF9AE}" pid="4" name="KSOTemplateDocerSaveRecord">
    <vt:lpwstr>eyJoZGlkIjoiN2RmNGQ2MDc0ZGFiNmIyNjNmMmJiNzcxMzg1OWQzY2YiLCJ1c2VySWQiOiIxNzkyMjQ5NTEzIn0=</vt:lpwstr>
  </property>
</Properties>
</file>