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磁铁差分旋转台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EEDA683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磁铁差分旋转台采购项目要求交付1套电动差分旋转台，配套附件及规格要求如下：</w:t>
            </w:r>
          </w:p>
          <w:p w14:paraId="2E19D5B8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1、安装法兰：采用D</w:t>
            </w:r>
            <w:r>
              <w:rPr>
                <w:rFonts w:ascii="宋体" w:hAnsi="宋体"/>
                <w:bCs/>
                <w:szCs w:val="21"/>
              </w:rPr>
              <w:t>N400CF</w:t>
            </w:r>
            <w:r>
              <w:rPr>
                <w:rFonts w:hint="eastAsia" w:ascii="宋体" w:hAnsi="宋体"/>
                <w:bCs/>
                <w:szCs w:val="21"/>
              </w:rPr>
              <w:t>，公制螺纹；</w:t>
            </w:r>
          </w:p>
          <w:p w14:paraId="3028BD80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2、旋转法兰：采用D</w:t>
            </w:r>
            <w:r>
              <w:rPr>
                <w:rFonts w:ascii="宋体" w:hAnsi="宋体"/>
                <w:bCs/>
                <w:szCs w:val="21"/>
              </w:rPr>
              <w:t>N400CF</w:t>
            </w:r>
            <w:r>
              <w:rPr>
                <w:rFonts w:hint="eastAsia" w:ascii="宋体" w:hAnsi="宋体"/>
                <w:bCs/>
                <w:szCs w:val="21"/>
              </w:rPr>
              <w:t>，公制螺纹；</w:t>
            </w:r>
          </w:p>
          <w:p w14:paraId="25FAA02F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3、包含限位开关和零点开关，带刻度盘和游标尺；</w:t>
            </w:r>
          </w:p>
          <w:p w14:paraId="1A834C39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4、不包括电机、控制器、光栅尺以及真空泵，我们将另行采购；</w:t>
            </w:r>
          </w:p>
          <w:p w14:paraId="3A0FEBDE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技术参数要求如下：</w:t>
            </w:r>
          </w:p>
          <w:p w14:paraId="0FD8703A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1、尺寸要求：旋转平台内部通径要求≥400</w:t>
            </w:r>
            <w:r>
              <w:rPr>
                <w:rFonts w:ascii="宋体" w:hAnsi="宋体"/>
                <w:bCs/>
                <w:szCs w:val="21"/>
              </w:rPr>
              <w:t>mm</w:t>
            </w:r>
            <w:r>
              <w:rPr>
                <w:rFonts w:hint="eastAsia" w:ascii="宋体" w:hAnsi="宋体"/>
                <w:bCs/>
                <w:szCs w:val="21"/>
              </w:rPr>
              <w:t>；</w:t>
            </w:r>
          </w:p>
          <w:p w14:paraId="7D562CF8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2、真空漏率：≤5×10</w:t>
            </w:r>
            <w:r>
              <w:rPr>
                <w:rFonts w:hint="eastAsia" w:ascii="宋体" w:hAnsi="宋体"/>
                <w:bCs/>
                <w:szCs w:val="21"/>
                <w:vertAlign w:val="superscript"/>
              </w:rPr>
              <w:t>-8</w:t>
            </w:r>
            <w:r>
              <w:rPr>
                <w:rFonts w:ascii="宋体" w:hAnsi="宋体"/>
                <w:bCs/>
                <w:szCs w:val="21"/>
                <w:vertAlign w:val="superscript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</w:rPr>
              <w:t>Pa·L/s；</w:t>
            </w:r>
          </w:p>
          <w:p w14:paraId="6E08265E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3、兼容真空环境：2E-10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</w:rPr>
              <w:t>Torr；</w:t>
            </w:r>
          </w:p>
          <w:p w14:paraId="49B4E327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4、负载承重：平台倒置安装条件下，真空和大气环境下均可承受拉力负载≥500</w:t>
            </w:r>
            <w:r>
              <w:rPr>
                <w:rFonts w:ascii="宋体" w:hAnsi="宋体"/>
                <w:bCs/>
                <w:szCs w:val="21"/>
              </w:rPr>
              <w:t>kg</w:t>
            </w:r>
            <w:r>
              <w:rPr>
                <w:rFonts w:hint="eastAsia" w:ascii="宋体" w:hAnsi="宋体"/>
                <w:bCs/>
                <w:szCs w:val="21"/>
              </w:rPr>
              <w:t>；</w:t>
            </w:r>
          </w:p>
          <w:p w14:paraId="3B7B2483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5、旋转运动行程范围：≥360°；</w:t>
            </w:r>
          </w:p>
          <w:p w14:paraId="5661CC8C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6、分辨率：好于0.5°；</w:t>
            </w:r>
          </w:p>
          <w:p w14:paraId="00F0FD11">
            <w:pPr>
              <w:tabs>
                <w:tab w:val="left" w:pos="6915"/>
              </w:tabs>
              <w:spacing w:line="24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drawing>
                <wp:inline distT="0" distB="0" distL="0" distR="0">
                  <wp:extent cx="2738755" cy="1687195"/>
                  <wp:effectExtent l="0" t="0" r="4445" b="8255"/>
                  <wp:docPr id="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738755" cy="1687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C6DC2A">
            <w:pPr>
              <w:tabs>
                <w:tab w:val="left" w:pos="6915"/>
              </w:tabs>
              <w:spacing w:line="240" w:lineRule="auto"/>
              <w:jc w:val="center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4"/>
              </w:rPr>
              <w:t>图1 磁铁差分旋转台倒置安装模型示意图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交货期：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Cs/>
                <w:szCs w:val="21"/>
              </w:rPr>
              <w:t>5个月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内</w:t>
            </w:r>
          </w:p>
          <w:p w14:paraId="4861F634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交付进度：</w:t>
            </w:r>
            <w:r>
              <w:rPr>
                <w:rFonts w:hint="eastAsia" w:ascii="宋体" w:hAnsi="宋体"/>
                <w:bCs/>
                <w:szCs w:val="21"/>
              </w:rPr>
              <w:t>一次性交付</w:t>
            </w:r>
          </w:p>
          <w:p w14:paraId="063DF81A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/>
                <w:b/>
                <w:bCs w:val="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付款方式：</w:t>
            </w:r>
          </w:p>
          <w:p w14:paraId="326083B3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1）国产设备：</w:t>
            </w:r>
          </w:p>
          <w:p w14:paraId="3BA94AE9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（1）合同签订后，支付合同总价的50%；</w:t>
            </w:r>
          </w:p>
          <w:p w14:paraId="68ABA129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（2）货到指定地点并且验收合格后，支付合同总价的50%。</w:t>
            </w:r>
          </w:p>
          <w:p w14:paraId="1B529DE7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2）进口设备：</w:t>
            </w:r>
          </w:p>
          <w:p w14:paraId="161F788E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合同签订后支付合同金额的30%预付款，凭发货单据支付60%货款，验收合格后支付10%尾款。</w:t>
            </w:r>
          </w:p>
          <w:p w14:paraId="12028ED0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验收指标及验收要求：</w:t>
            </w:r>
            <w:r>
              <w:rPr>
                <w:rFonts w:hint="eastAsia" w:ascii="宋体" w:hAnsi="宋体"/>
                <w:bCs/>
                <w:szCs w:val="21"/>
              </w:rPr>
              <w:t>以下技术参数要求厂商出具测试报告：</w:t>
            </w:r>
          </w:p>
          <w:p w14:paraId="072D8C6B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1、尺寸要求：旋转平台内部通径要求≥400</w:t>
            </w:r>
            <w:r>
              <w:rPr>
                <w:rFonts w:ascii="宋体" w:hAnsi="宋体"/>
                <w:bCs/>
                <w:szCs w:val="21"/>
              </w:rPr>
              <w:t>mm</w:t>
            </w:r>
            <w:r>
              <w:rPr>
                <w:rFonts w:hint="eastAsia" w:ascii="宋体" w:hAnsi="宋体"/>
                <w:bCs/>
                <w:szCs w:val="21"/>
              </w:rPr>
              <w:t>；</w:t>
            </w:r>
          </w:p>
          <w:p w14:paraId="7970A9F4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2、真空漏率：≤5×10</w:t>
            </w:r>
            <w:r>
              <w:rPr>
                <w:rFonts w:hint="eastAsia" w:ascii="宋体" w:hAnsi="宋体"/>
                <w:bCs/>
                <w:szCs w:val="21"/>
                <w:vertAlign w:val="superscript"/>
              </w:rPr>
              <w:t>-8</w:t>
            </w:r>
            <w:r>
              <w:rPr>
                <w:rFonts w:ascii="宋体" w:hAnsi="宋体"/>
                <w:bCs/>
                <w:szCs w:val="21"/>
                <w:vertAlign w:val="superscript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</w:rPr>
              <w:t>Pa·L/s；</w:t>
            </w:r>
          </w:p>
          <w:p w14:paraId="7234E19C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3、兼容真空环境：2E-10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</w:rPr>
              <w:t>Torr；</w:t>
            </w:r>
          </w:p>
          <w:p w14:paraId="71C01421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4、负载承重：平台倒置安装条件下，真空和大气环境下均可承受拉力负载≥500</w:t>
            </w:r>
            <w:r>
              <w:rPr>
                <w:rFonts w:ascii="宋体" w:hAnsi="宋体"/>
                <w:bCs/>
                <w:szCs w:val="21"/>
              </w:rPr>
              <w:t>kg</w:t>
            </w:r>
            <w:r>
              <w:rPr>
                <w:rFonts w:hint="eastAsia" w:ascii="宋体" w:hAnsi="宋体"/>
                <w:bCs/>
                <w:szCs w:val="21"/>
              </w:rPr>
              <w:t>；</w:t>
            </w:r>
          </w:p>
          <w:p w14:paraId="70D13CEE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5、旋转运动行程范围：≥360°；</w:t>
            </w:r>
          </w:p>
          <w:p w14:paraId="261B7BE9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6、分辨率：好于0.5°；</w:t>
            </w:r>
          </w:p>
          <w:p w14:paraId="5BD6E643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档案要求：</w:t>
            </w:r>
          </w:p>
          <w:p w14:paraId="14C86C3C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（1）签订合同后2个月内出具加工图纸；</w:t>
            </w:r>
          </w:p>
          <w:p w14:paraId="7173DAD3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（2）提供出厂测试报告；</w:t>
            </w:r>
          </w:p>
          <w:p w14:paraId="00378417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（3）签订合同后每月提供进度报告；</w:t>
            </w:r>
          </w:p>
          <w:p w14:paraId="6153D25E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项目验收通过后，质保期1年。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C134D74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2026-07-17T06:38:09Z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